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84"/>
          <w:highlight w:val="none"/>
        </w:rPr>
      </w:pPr>
      <w:r>
        <w:rPr>
          <w:rFonts w:hint="eastAsia" w:hAnsi="宋体"/>
          <w:b/>
          <w:color w:val="auto"/>
          <w:sz w:val="84"/>
          <w:highlight w:val="none"/>
        </w:rPr>
        <w:t xml:space="preserve">太仓市政府采购</w:t>
      </w:r>
      <w:r/>
    </w:p>
    <w:p>
      <w:pPr>
        <w:jc w:val="center"/>
        <w:rPr>
          <w:rFonts w:hAnsi="宋体"/>
          <w:b/>
          <w:color w:val="auto"/>
          <w:sz w:val="84"/>
          <w:highlight w:val="none"/>
        </w:rPr>
      </w:pPr>
      <w:r>
        <w:rPr>
          <w:rFonts w:hint="eastAsia" w:hAnsi="宋体"/>
          <w:b/>
          <w:color w:val="auto"/>
          <w:sz w:val="84"/>
          <w:highlight w:val="none"/>
        </w:rPr>
        <w:t xml:space="preserve">招标文件</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项目编号：</w:t>
      </w:r>
      <w:r>
        <w:rPr>
          <w:rFonts w:hint="eastAsia" w:hAnsi="宋体"/>
          <w:b/>
          <w:bCs/>
          <w:color w:val="auto"/>
          <w:sz w:val="32"/>
          <w:szCs w:val="32"/>
          <w:highlight w:val="none"/>
          <w:lang w:eastAsia="zh-CN"/>
        </w:rPr>
        <w:t xml:space="preserve">JSZC-320585-ZFXM-G2025-0031</w:t>
      </w:r>
      <w:r>
        <w:rPr>
          <w:rFonts w:hint="eastAsia" w:hAnsi="宋体"/>
          <w:b/>
          <w:bCs/>
          <w:color w:val="auto"/>
          <w:sz w:val="32"/>
          <w:szCs w:val="32"/>
          <w:highlight w:val="none"/>
        </w:rPr>
        <w:t xml:space="preserve"> </w:t>
      </w:r>
      <w:r/>
    </w:p>
    <w:p>
      <w:pPr>
        <w:pStyle w:val="764"/>
        <w:ind w:left="0" w:firstLine="32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太仓市明德高级中学房屋安全鉴定服务</w:t>
      </w:r>
      <w:r/>
    </w:p>
    <w:p>
      <w:pPr>
        <w:pStyle w:val="764"/>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太仓市明德高级中学</w:t>
      </w:r>
      <w:r/>
    </w:p>
    <w:p>
      <w:pPr>
        <w:pStyle w:val="764"/>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764"/>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标的所属行业：</w:t>
      </w:r>
      <w:r>
        <w:rPr>
          <w:rFonts w:hint="eastAsia" w:hAnsi="宋体"/>
          <w:b/>
          <w:bCs/>
          <w:color w:val="auto"/>
          <w:sz w:val="32"/>
          <w:szCs w:val="32"/>
          <w:highlight w:val="none"/>
          <w:lang w:eastAsia="zh-CN"/>
        </w:rPr>
        <w:t xml:space="preserve">其他未列明行业</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代理机构：江苏兆丰项目管理有限公司</w:t>
      </w:r>
      <w:r/>
    </w:p>
    <w:p>
      <w:pPr>
        <w:pStyle w:val="76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二○二五年</w:t>
      </w:r>
      <w:r>
        <w:rPr>
          <w:rFonts w:hint="eastAsia" w:hAnsi="宋体"/>
          <w:b/>
          <w:bCs/>
          <w:color w:val="auto"/>
          <w:sz w:val="32"/>
          <w:szCs w:val="32"/>
          <w:highlight w:val="none"/>
          <w:lang w:val="en-US" w:eastAsia="zh-CN"/>
        </w:rPr>
        <w:t xml:space="preserve">十一</w:t>
      </w:r>
      <w:r>
        <w:rPr>
          <w:rFonts w:hint="eastAsia" w:hAnsi="宋体"/>
          <w:b/>
          <w:bCs/>
          <w:color w:val="auto"/>
          <w:sz w:val="32"/>
          <w:szCs w:val="32"/>
          <w:highlight w:val="none"/>
        </w:rPr>
        <w:t xml:space="preserve">月</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rPr>
          <w:rFonts w:hAnsi="宋体"/>
          <w:b/>
          <w:color w:val="auto"/>
          <w:sz w:val="44"/>
          <w:szCs w:val="44"/>
          <w:highlight w:val="none"/>
        </w:rPr>
      </w:pPr>
      <w:r>
        <w:rPr>
          <w:rFonts w:hAnsi="宋体"/>
          <w:b/>
          <w:color w:val="auto"/>
          <w:sz w:val="44"/>
          <w:szCs w:val="44"/>
          <w:highlight w:val="none"/>
        </w:rPr>
        <w:br w:type="page" w:clear="all"/>
      </w:r>
      <w:r/>
    </w:p>
    <w:p>
      <w:pPr>
        <w:jc w:val="center"/>
        <w:rPr>
          <w:rFonts w:hAnsi="宋体"/>
          <w:b/>
          <w:color w:val="auto"/>
          <w:sz w:val="44"/>
          <w:szCs w:val="44"/>
          <w:highlight w:val="none"/>
        </w:rPr>
      </w:pPr>
      <w:r>
        <w:rPr>
          <w:rFonts w:hAnsi="宋体"/>
          <w:b/>
          <w:color w:val="auto"/>
          <w:sz w:val="44"/>
          <w:szCs w:val="44"/>
          <w:highlight w:val="none"/>
        </w:rPr>
      </w:r>
      <w:r/>
    </w:p>
    <w:p>
      <w:pPr>
        <w:jc w:val="center"/>
        <w:rPr>
          <w:rFonts w:hAnsi="宋体"/>
          <w:b/>
          <w:color w:val="auto"/>
          <w:sz w:val="44"/>
          <w:szCs w:val="44"/>
          <w:highlight w:val="none"/>
        </w:rPr>
      </w:pPr>
      <w:r>
        <w:rPr>
          <w:rFonts w:hAnsi="宋体"/>
          <w:b/>
          <w:color w:val="auto"/>
          <w:sz w:val="44"/>
          <w:szCs w:val="44"/>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p>
      <w:pPr>
        <w:pStyle w:val="935"/>
        <w:rPr>
          <w:color w:val="auto"/>
          <w:highlight w:val="none"/>
        </w:rPr>
      </w:pPr>
      <w:r>
        <w:rPr>
          <w:color w:val="auto"/>
          <w:highlight w:val="none"/>
        </w:rPr>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795"/>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795"/>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795"/>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795"/>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795"/>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777"/>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795"/>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p>
      <w:pPr>
        <w:pStyle w:val="764"/>
        <w:ind w:left="0"/>
        <w:jc w:val="center"/>
        <w:spacing w:before="0" w:line="360" w:lineRule="auto"/>
        <w:rPr>
          <w:rFonts w:hAnsi="宋体"/>
          <w:b/>
          <w:bCs/>
          <w:color w:val="auto"/>
          <w:sz w:val="36"/>
          <w:szCs w:val="36"/>
          <w:highlight w:val="none"/>
        </w:rPr>
        <w:outlineLvl w:val="0"/>
      </w:pPr>
      <w:r/>
      <w:bookmarkStart w:id="0" w:name="OLE_LINK6"/>
      <w:r/>
      <w:bookmarkStart w:id="1" w:name="_Toc159507035"/>
      <w:r/>
      <w:r/>
    </w:p>
    <w:p>
      <w:pPr>
        <w:pStyle w:val="764"/>
        <w:ind w:left="0"/>
        <w:jc w:val="center"/>
        <w:spacing w:before="0" w:line="360" w:lineRule="auto"/>
        <w:rPr>
          <w:rFonts w:hAnsi="宋体"/>
          <w:b/>
          <w:bCs/>
          <w:color w:val="auto"/>
          <w:sz w:val="36"/>
          <w:szCs w:val="36"/>
          <w:highlight w:val="none"/>
        </w:rPr>
        <w:outlineLvl w:val="0"/>
      </w:pPr>
      <w:r>
        <w:rPr>
          <w:rFonts w:hAnsi="宋体"/>
          <w:b/>
          <w:bCs/>
          <w:color w:val="auto"/>
          <w:sz w:val="36"/>
          <w:szCs w:val="36"/>
          <w:highlight w:val="none"/>
        </w:rPr>
      </w:r>
      <w:r/>
    </w:p>
    <w:p>
      <w:pPr>
        <w:rPr>
          <w:rFonts w:hAnsi="宋体"/>
          <w:b/>
          <w:bCs/>
          <w:color w:val="auto"/>
          <w:sz w:val="36"/>
          <w:szCs w:val="36"/>
          <w:highlight w:val="none"/>
        </w:rPr>
      </w:pPr>
      <w:r>
        <w:rPr>
          <w:rFonts w:hAnsi="宋体"/>
          <w:b/>
          <w:bCs/>
          <w:color w:val="auto"/>
          <w:sz w:val="36"/>
          <w:szCs w:val="36"/>
          <w:highlight w:val="none"/>
        </w:rPr>
        <w:br w:type="page" w:clear="all"/>
      </w:r>
      <w:r/>
    </w:p>
    <w:p>
      <w:pPr>
        <w:pStyle w:val="764"/>
        <w:ind w:left="0"/>
        <w:jc w:val="center"/>
        <w:spacing w:before="0" w:line="360" w:lineRule="auto"/>
        <w:rPr>
          <w:rFonts w:hAnsi="宋体"/>
          <w:b/>
          <w:bCs/>
          <w:color w:val="auto"/>
          <w:sz w:val="36"/>
          <w:szCs w:val="36"/>
          <w:highlight w:val="none"/>
        </w:rPr>
        <w:outlineLvl w:val="0"/>
      </w:pPr>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3"/>
      <w:r/>
      <w:bookmarkStart w:id="3" w:name="OLE_LINK4"/>
      <w:r/>
      <w:bookmarkStart w:id="4" w:name="OLE_LINK5"/>
      <w:r>
        <w:rPr>
          <w:rFonts w:hint="eastAsia" w:hAnsi="宋体"/>
          <w:b/>
          <w:bCs/>
          <w:color w:val="auto"/>
          <w:sz w:val="36"/>
          <w:szCs w:val="36"/>
          <w:highlight w:val="none"/>
        </w:rPr>
        <w:t xml:space="preserve">招标公告</w:t>
      </w:r>
      <w:bookmarkEnd w:id="0"/>
      <w:r/>
      <w:bookmarkEnd w:id="1"/>
      <w:r/>
      <w:bookmarkEnd w:id="2"/>
      <w:r/>
      <w:bookmarkEnd w:id="3"/>
      <w:r/>
      <w:bookmarkEnd w:id="4"/>
      <w:r/>
      <w:r/>
    </w:p>
    <w:p>
      <w:pPr>
        <w:spacing w:line="360" w:lineRule="auto"/>
        <w:rPr>
          <w:rFonts w:hAnsi="宋体"/>
          <w:b/>
          <w:bCs/>
          <w:color w:val="auto"/>
          <w:sz w:val="21"/>
          <w:szCs w:val="21"/>
          <w:highlight w:val="none"/>
        </w:rPr>
      </w:pPr>
      <w:r/>
      <w:bookmarkStart w:id="5" w:name="OLE_LINK1"/>
      <w:r>
        <w:rPr>
          <w:rFonts w:hint="eastAsia" w:hAnsi="宋体"/>
          <w:b/>
          <w:bCs/>
          <w:color w:val="auto"/>
          <w:sz w:val="21"/>
          <w:szCs w:val="21"/>
          <w:highlight w:val="none"/>
        </w:rPr>
        <w:t xml:space="preserve">项目概况</w:t>
      </w:r>
      <w:r/>
    </w:p>
    <w:p>
      <w:pPr>
        <w:ind w:firstLine="420"/>
        <w:spacing w:line="360" w:lineRule="auto"/>
        <w:rPr>
          <w:rFonts w:hAnsi="宋体"/>
          <w:color w:val="auto"/>
          <w:sz w:val="21"/>
          <w:szCs w:val="21"/>
          <w:highlight w:val="none"/>
        </w:rPr>
      </w:pPr>
      <w:r>
        <w:rPr>
          <w:rFonts w:hint="eastAsia" w:hAnsi="宋体"/>
          <w:color w:val="auto"/>
          <w:sz w:val="21"/>
          <w:szCs w:val="21"/>
          <w:highlight w:val="none"/>
          <w:lang w:eastAsia="zh-CN"/>
        </w:rPr>
        <w:t xml:space="preserve">太仓市明德高级中学房屋安全鉴定服务</w:t>
      </w:r>
      <w:r>
        <w:rPr>
          <w:rFonts w:hint="eastAsia" w:hAnsi="宋体"/>
          <w:color w:val="auto"/>
          <w:sz w:val="21"/>
          <w:szCs w:val="21"/>
          <w:highlight w:val="none"/>
        </w:rPr>
        <w:t xml:space="preserve">项目的潜在投标人应在“苏采云政府采购一体化平台”中参与项目并下载获取招标文件，并于2025年</w:t>
      </w:r>
      <w:r>
        <w:rPr>
          <w:rFonts w:hint="eastAsia" w:hAnsi="宋体"/>
          <w:color w:val="auto"/>
          <w:sz w:val="21"/>
          <w:szCs w:val="21"/>
          <w:highlight w:val="none"/>
          <w:lang w:val="en-US" w:eastAsia="zh-CN"/>
        </w:rPr>
        <w:t xml:space="preserve">11</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27</w:t>
      </w:r>
      <w:r>
        <w:rPr>
          <w:rFonts w:hint="eastAsia" w:hAnsi="宋体"/>
          <w:color w:val="auto"/>
          <w:sz w:val="21"/>
          <w:szCs w:val="21"/>
          <w:highlight w:val="none"/>
        </w:rPr>
        <w:t xml:space="preserve">日</w:t>
      </w:r>
      <w:r>
        <w:rPr>
          <w:rFonts w:hint="eastAsia" w:hAnsi="宋体"/>
          <w:color w:val="auto"/>
          <w:sz w:val="21"/>
          <w:szCs w:val="21"/>
          <w:highlight w:val="none"/>
          <w:lang w:val="en-US" w:eastAsia="zh-CN"/>
        </w:rPr>
        <w:t xml:space="preserve">09:30</w:t>
      </w:r>
      <w:r>
        <w:rPr>
          <w:rFonts w:hint="eastAsia" w:hAnsi="宋体"/>
          <w:color w:val="auto"/>
          <w:sz w:val="21"/>
          <w:szCs w:val="21"/>
          <w:highlight w:val="none"/>
        </w:rPr>
        <w:t xml:space="preserve">（北京时间）前上传电子投标文件。</w:t>
      </w:r>
      <w:r/>
    </w:p>
    <w:p>
      <w:pPr>
        <w:spacing w:line="360" w:lineRule="auto"/>
        <w:rPr>
          <w:rFonts w:hAnsi="宋体"/>
          <w:b/>
          <w:bCs/>
          <w:color w:val="auto"/>
          <w:sz w:val="21"/>
          <w:szCs w:val="21"/>
          <w:highlight w:val="none"/>
        </w:rPr>
      </w:pPr>
      <w:r>
        <w:rPr>
          <w:rFonts w:hint="eastAsia" w:hAnsi="宋体"/>
          <w:b/>
          <w:bCs/>
          <w:color w:val="auto"/>
          <w:sz w:val="21"/>
          <w:szCs w:val="21"/>
          <w:highlight w:val="none"/>
        </w:rPr>
        <w:t xml:space="preserve">一、项目基本情况</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1、项目编号：</w:t>
      </w:r>
      <w:r>
        <w:rPr>
          <w:rFonts w:hint="eastAsia" w:hAnsi="宋体"/>
          <w:color w:val="auto"/>
          <w:sz w:val="21"/>
          <w:szCs w:val="21"/>
          <w:highlight w:val="none"/>
          <w:lang w:eastAsia="zh-CN"/>
        </w:rPr>
        <w:t xml:space="preserve">JSZC-320585-ZFXM-G2025-0031</w:t>
      </w:r>
      <w:r>
        <w:rPr>
          <w:rFonts w:hint="eastAsia" w:hAnsi="宋体"/>
          <w:color w:val="auto"/>
          <w:sz w:val="21"/>
          <w:szCs w:val="21"/>
          <w:highlight w:val="none"/>
        </w:rPr>
        <w:t xml:space="preserve"> </w:t>
      </w:r>
      <w:r/>
    </w:p>
    <w:p>
      <w:pPr>
        <w:ind w:firstLine="42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2、项目名称：</w:t>
      </w:r>
      <w:r>
        <w:rPr>
          <w:rFonts w:hint="eastAsia" w:hAnsi="宋体"/>
          <w:color w:val="auto"/>
          <w:sz w:val="21"/>
          <w:szCs w:val="21"/>
          <w:highlight w:val="none"/>
          <w:lang w:eastAsia="zh-CN"/>
        </w:rPr>
        <w:t xml:space="preserve">太仓市明德高级中学房屋安全鉴定服务</w:t>
      </w:r>
      <w:r/>
    </w:p>
    <w:p>
      <w:pPr>
        <w:ind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3、预算金额：71.85万</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4、最高限价：同预算金额</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5、采购需求：</w:t>
      </w:r>
      <w:r>
        <w:rPr>
          <w:rFonts w:hint="eastAsia" w:hAnsi="宋体"/>
          <w:color w:val="auto"/>
          <w:sz w:val="21"/>
          <w:szCs w:val="21"/>
          <w:highlight w:val="none"/>
          <w:lang w:eastAsia="zh-CN"/>
        </w:rPr>
        <w:t xml:space="preserve">太仓市明德高级中学房屋安全鉴定服务</w:t>
      </w:r>
      <w:r>
        <w:rPr>
          <w:rFonts w:hint="eastAsia" w:hAnsi="宋体"/>
          <w:color w:val="auto"/>
          <w:sz w:val="21"/>
          <w:szCs w:val="21"/>
          <w:highlight w:val="none"/>
        </w:rPr>
        <w:t xml:space="preserve">，详见第三章项目需求。</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6、合同履行期限：</w:t>
      </w:r>
      <w:r>
        <w:rPr>
          <w:rFonts w:hint="eastAsia" w:hAnsi="宋体"/>
          <w:color w:val="auto"/>
          <w:sz w:val="21"/>
          <w:szCs w:val="21"/>
          <w:highlight w:val="none"/>
          <w:lang w:eastAsia="zh-CN"/>
        </w:rPr>
        <w:t xml:space="preserve">自合同签订后30个工作日内完成所有检测工作，安全性鉴定报告上传苏州市房屋安全鉴定管理信息系统，审核通过后出具安全性鉴定报告。</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7、本项目不接受联合体投标。</w:t>
      </w:r>
      <w:r/>
    </w:p>
    <w:p>
      <w:pPr>
        <w:spacing w:line="360" w:lineRule="auto"/>
        <w:rPr>
          <w:rFonts w:hAnsi="宋体"/>
          <w:b/>
          <w:bCs/>
          <w:color w:val="auto"/>
          <w:sz w:val="21"/>
          <w:szCs w:val="21"/>
          <w:highlight w:val="none"/>
        </w:rPr>
      </w:pPr>
      <w:r>
        <w:rPr>
          <w:rFonts w:hint="eastAsia" w:hAnsi="宋体"/>
          <w:b/>
          <w:bCs/>
          <w:color w:val="auto"/>
          <w:sz w:val="21"/>
          <w:szCs w:val="21"/>
          <w:highlight w:val="none"/>
        </w:rPr>
        <w:t xml:space="preserve">二、申请人的资格要求：</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（一）满足《中华人民共和国政府采购法》第二十二条规定：</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1、具有独立承担民事责任的能力；</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2、具有良好的商业信誉和健全的财务会计制度；</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3、具有履行合同所必需的设备和专业技术能力；</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w:t>
      </w:r>
      <w:r>
        <w:rPr>
          <w:rFonts w:hint="eastAsia" w:hAnsi="宋体"/>
          <w:color w:val="auto"/>
          <w:sz w:val="21"/>
          <w:szCs w:val="21"/>
          <w:highlight w:val="none"/>
          <w:lang w:val="en-US" w:eastAsia="zh-CN"/>
        </w:rPr>
        <w:t xml:space="preserve">具</w:t>
      </w:r>
      <w:r>
        <w:rPr>
          <w:rFonts w:hint="eastAsia" w:hAnsi="宋体"/>
          <w:color w:val="auto"/>
          <w:sz w:val="21"/>
          <w:szCs w:val="21"/>
          <w:highlight w:val="none"/>
        </w:rPr>
        <w:t xml:space="preserve">有依法缴纳税收和社会保障资金的良好记录；</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6、法律、行政法规规定的其他条件；</w:t>
      </w:r>
      <w:r/>
    </w:p>
    <w:p>
      <w:pPr>
        <w:ind w:firstLine="420"/>
        <w:spacing w:line="360" w:lineRule="auto"/>
        <w:rPr>
          <w:rFonts w:hAnsi="宋体"/>
          <w:b w:val="0"/>
          <w:bCs w:val="0"/>
          <w:color w:val="auto"/>
          <w:sz w:val="21"/>
          <w:szCs w:val="21"/>
          <w:highlight w:val="none"/>
        </w:rPr>
      </w:pPr>
      <w:r>
        <w:rPr>
          <w:rFonts w:hint="eastAsia" w:hAnsi="宋体"/>
          <w:color w:val="auto"/>
          <w:sz w:val="21"/>
          <w:szCs w:val="21"/>
          <w:highlight w:val="none"/>
        </w:rPr>
        <w:t xml:space="preserve">（二）落实政府采购政策需满足的资格要求：</w:t>
      </w:r>
      <w:bookmarkStart w:id="6" w:name="OLE_LINK2"/>
      <w:r/>
      <w:bookmarkStart w:id="7" w:name="OLE_LINK7"/>
      <w:r>
        <w:rPr>
          <w:rFonts w:hint="eastAsia" w:hAnsi="宋体"/>
          <w:color w:val="auto"/>
          <w:sz w:val="21"/>
          <w:szCs w:val="21"/>
          <w:highlight w:val="none"/>
        </w:rPr>
        <w:t xml:space="preserve">本项目专门面向中小企业采购，所属行业为</w:t>
      </w:r>
      <w:r>
        <w:rPr>
          <w:rFonts w:hint="eastAsia" w:hAnsi="宋体"/>
          <w:color w:val="auto"/>
          <w:sz w:val="21"/>
          <w:szCs w:val="21"/>
          <w:highlight w:val="none"/>
          <w:lang w:eastAsia="zh-CN"/>
        </w:rPr>
        <w:t xml:space="preserve">其他未列明行业</w:t>
      </w:r>
      <w:r>
        <w:rPr>
          <w:rFonts w:hint="eastAsia" w:hAnsi="宋体"/>
          <w:color w:val="auto"/>
          <w:sz w:val="21"/>
          <w:szCs w:val="21"/>
          <w:highlight w:val="none"/>
        </w:rPr>
        <w:t xml:space="preserve">，投标时须提供《中小企业声明函》，未提供视为无效投标。若为残疾人福利性单位，在政府采购活动中，视同小微企业，并提供相关证明材料；若为监狱企业，在</w:t>
      </w:r>
      <w:r>
        <w:rPr>
          <w:rFonts w:hint="eastAsia" w:hAnsi="宋体"/>
          <w:b w:val="0"/>
          <w:bCs w:val="0"/>
          <w:color w:val="auto"/>
          <w:sz w:val="21"/>
          <w:szCs w:val="21"/>
          <w:highlight w:val="none"/>
        </w:rPr>
        <w:t xml:space="preserve">政府采购活动中，视同小型企业，并提供相关证明材料。</w:t>
      </w:r>
      <w:bookmarkEnd w:id="6"/>
      <w:r/>
      <w:bookmarkEnd w:id="7"/>
      <w:r/>
      <w:r/>
    </w:p>
    <w:p>
      <w:pPr>
        <w:ind w:firstLine="420"/>
        <w:spacing w:line="360" w:lineRule="auto"/>
        <w:rPr>
          <w:rFonts w:hAnsi="宋体"/>
          <w:b w:val="0"/>
          <w:bCs w:val="0"/>
          <w:color w:val="auto"/>
          <w:sz w:val="21"/>
          <w:szCs w:val="21"/>
          <w:highlight w:val="none"/>
        </w:rPr>
      </w:pPr>
      <w:r>
        <w:rPr>
          <w:rFonts w:hint="eastAsia" w:hAnsi="宋体"/>
          <w:b w:val="0"/>
          <w:bCs w:val="0"/>
          <w:color w:val="auto"/>
          <w:sz w:val="21"/>
          <w:szCs w:val="21"/>
          <w:highlight w:val="none"/>
        </w:rPr>
        <w:t xml:space="preserve">（三）本项目的特定资格要求：</w:t>
      </w:r>
      <w:r>
        <w:rPr>
          <w:rFonts w:hint="eastAsia" w:hAnsi="宋体"/>
          <w:b/>
          <w:bCs/>
          <w:color w:val="auto"/>
          <w:sz w:val="21"/>
          <w:szCs w:val="21"/>
          <w:highlight w:val="none"/>
          <w:lang w:eastAsia="zh-CN"/>
        </w:rPr>
        <w:t xml:space="preserve">投标供应商具有建设行政主管部门颁发的检测机构资质(核定检测项目至少包括：主体结构现场检测，钢结构工程检测，地基基础工程检测资质)</w:t>
      </w:r>
      <w:r>
        <w:rPr>
          <w:rFonts w:hint="eastAsia" w:hAnsi="宋体"/>
          <w:b w:val="0"/>
          <w:bCs w:val="0"/>
          <w:color w:val="auto"/>
          <w:sz w:val="21"/>
          <w:szCs w:val="21"/>
          <w:highlight w:val="none"/>
        </w:rPr>
        <w:t xml:space="preserve">。</w:t>
      </w:r>
      <w:r/>
    </w:p>
    <w:p>
      <w:pPr>
        <w:ind w:firstLine="420"/>
        <w:spacing w:line="360" w:lineRule="auto"/>
        <w:rPr>
          <w:rFonts w:hAnsi="宋体"/>
          <w:b w:val="0"/>
          <w:bCs w:val="0"/>
          <w:color w:val="auto"/>
          <w:sz w:val="21"/>
          <w:szCs w:val="21"/>
          <w:highlight w:val="none"/>
        </w:rPr>
      </w:pPr>
      <w:r>
        <w:rPr>
          <w:rFonts w:hint="eastAsia" w:hAnsi="宋体"/>
          <w:b w:val="0"/>
          <w:bCs w:val="0"/>
          <w:color w:val="auto"/>
          <w:sz w:val="21"/>
          <w:szCs w:val="21"/>
          <w:highlight w:val="none"/>
        </w:rPr>
        <w:t xml:space="preserve">（四）拒绝下述供应商参加本次采购活动：</w:t>
      </w:r>
      <w:r/>
    </w:p>
    <w:p>
      <w:pPr>
        <w:ind w:firstLine="420"/>
        <w:spacing w:line="360" w:lineRule="auto"/>
        <w:rPr>
          <w:rFonts w:hAnsi="宋体"/>
          <w:color w:val="auto"/>
          <w:sz w:val="21"/>
          <w:szCs w:val="21"/>
          <w:highlight w:val="none"/>
        </w:rPr>
      </w:pPr>
      <w:r>
        <w:rPr>
          <w:rFonts w:hint="eastAsia" w:hAnsi="宋体"/>
          <w:b w:val="0"/>
          <w:bCs w:val="0"/>
          <w:color w:val="auto"/>
          <w:sz w:val="21"/>
          <w:szCs w:val="21"/>
          <w:highlight w:val="none"/>
        </w:rPr>
        <w:t xml:space="preserve">1、供应商单位负责人为同一人或</w:t>
      </w:r>
      <w:r>
        <w:rPr>
          <w:rFonts w:hint="eastAsia" w:hAnsi="宋体"/>
          <w:color w:val="auto"/>
          <w:sz w:val="21"/>
          <w:szCs w:val="21"/>
          <w:highlight w:val="none"/>
        </w:rPr>
        <w:t xml:space="preserve">者存在直接控股、管理关系的不同供应商，不得参加同一合同项下的政府采购活动。</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3、法人的分支机构不得参加投标（除银行、保险、石油石化、电力、电信等行业特殊情况外）</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spacing w:line="360" w:lineRule="auto"/>
        <w:rPr>
          <w:rFonts w:hAnsi="宋体"/>
          <w:b/>
          <w:bCs/>
          <w:color w:val="auto"/>
          <w:sz w:val="21"/>
          <w:szCs w:val="21"/>
          <w:highlight w:val="none"/>
        </w:rPr>
      </w:pPr>
      <w:r>
        <w:rPr>
          <w:rFonts w:hint="eastAsia" w:hAnsi="宋体"/>
          <w:b/>
          <w:bCs/>
          <w:color w:val="auto"/>
          <w:sz w:val="21"/>
          <w:szCs w:val="21"/>
          <w:highlight w:val="none"/>
        </w:rPr>
        <w:t xml:space="preserve">三、投标报名及获取招标文件</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1、依法获取电子招标文件</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自招标文件公告发布之日起5个工作日，</w:t>
      </w:r>
      <w:r>
        <w:rPr>
          <w:rFonts w:hint="eastAsia" w:hAnsi="宋体"/>
          <w:b/>
          <w:bCs/>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2、获取方式：网上下载电子招标文件。</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3、本项目免费下载电子招标文件。</w:t>
      </w:r>
      <w:r/>
    </w:p>
    <w:p>
      <w:pPr>
        <w:ind w:firstLine="482"/>
        <w:spacing w:line="360" w:lineRule="auto"/>
        <w:shd w:val="clear" w:color="auto" w:fill="ffffff"/>
        <w:rPr>
          <w:rFonts w:hAnsi="宋体"/>
          <w:b/>
          <w:bCs/>
          <w:color w:val="auto"/>
          <w:sz w:val="21"/>
          <w:szCs w:val="21"/>
          <w:highlight w:val="none"/>
        </w:rPr>
      </w:pPr>
      <w:r>
        <w:rPr>
          <w:rFonts w:hint="eastAsia" w:hAnsi="宋体"/>
          <w:b/>
          <w:bCs/>
          <w:color w:val="auto"/>
          <w:sz w:val="21"/>
          <w:szCs w:val="21"/>
          <w:highlight w:val="none"/>
        </w:rPr>
        <w:t xml:space="preserve">四、提交投标文件截止时间、开标时间和地点</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1、加密的电子投标文件上传截止时间：2025年</w:t>
      </w:r>
      <w:r>
        <w:rPr>
          <w:rFonts w:hint="eastAsia" w:hAnsi="宋体"/>
          <w:color w:val="auto"/>
          <w:sz w:val="21"/>
          <w:szCs w:val="21"/>
          <w:highlight w:val="none"/>
          <w:lang w:val="en-US" w:eastAsia="zh-CN"/>
        </w:rPr>
        <w:t xml:space="preserve">11</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27</w:t>
      </w:r>
      <w:r>
        <w:rPr>
          <w:rFonts w:hint="eastAsia" w:hAnsi="宋体"/>
          <w:color w:val="auto"/>
          <w:sz w:val="21"/>
          <w:szCs w:val="21"/>
          <w:highlight w:val="none"/>
        </w:rPr>
        <w:t xml:space="preserve">日</w:t>
      </w:r>
      <w:r>
        <w:rPr>
          <w:rFonts w:hint="eastAsia" w:hAnsi="宋体"/>
          <w:color w:val="auto"/>
          <w:sz w:val="21"/>
          <w:szCs w:val="21"/>
          <w:highlight w:val="none"/>
          <w:lang w:val="en-US" w:eastAsia="zh-CN"/>
        </w:rPr>
        <w:t xml:space="preserve">09:30</w:t>
      </w:r>
      <w:r>
        <w:rPr>
          <w:rFonts w:hint="eastAsia" w:hAnsi="宋体"/>
          <w:color w:val="auto"/>
          <w:sz w:val="21"/>
          <w:szCs w:val="21"/>
          <w:highlight w:val="none"/>
        </w:rPr>
        <w:t xml:space="preserve">（北京时间），</w:t>
      </w:r>
      <w:r>
        <w:rPr>
          <w:rFonts w:hint="eastAsia" w:hAnsi="宋体"/>
          <w:b/>
          <w:bCs/>
          <w:color w:val="auto"/>
          <w:sz w:val="21"/>
          <w:szCs w:val="21"/>
          <w:highlight w:val="none"/>
        </w:rPr>
        <w:t xml:space="preserve">投标人登录苏采云政府采购一体化平台，进入“参与详情”页面，上传电子投标文件。</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注：考虑网络上传速度因素，请投标供应商适当提前上传电子投标文件。</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2、开标时间：2025年</w:t>
      </w:r>
      <w:r>
        <w:rPr>
          <w:rFonts w:hint="eastAsia" w:hAnsi="宋体"/>
          <w:color w:val="auto"/>
          <w:sz w:val="21"/>
          <w:szCs w:val="21"/>
          <w:highlight w:val="none"/>
          <w:lang w:val="en-US" w:eastAsia="zh-CN"/>
        </w:rPr>
        <w:t xml:space="preserve">11</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27</w:t>
      </w:r>
      <w:r>
        <w:rPr>
          <w:rFonts w:hint="eastAsia" w:hAnsi="宋体"/>
          <w:color w:val="auto"/>
          <w:sz w:val="21"/>
          <w:szCs w:val="21"/>
          <w:highlight w:val="none"/>
        </w:rPr>
        <w:t xml:space="preserve">日</w:t>
      </w:r>
      <w:r>
        <w:rPr>
          <w:rFonts w:hint="eastAsia" w:hAnsi="宋体"/>
          <w:color w:val="auto"/>
          <w:sz w:val="21"/>
          <w:szCs w:val="21"/>
          <w:highlight w:val="none"/>
          <w:lang w:val="en-US" w:eastAsia="zh-CN"/>
        </w:rPr>
        <w:t xml:space="preserve">09:30</w:t>
      </w:r>
      <w:bookmarkStart w:id="24" w:name="_GoBack"/>
      <w:r/>
      <w:bookmarkEnd w:id="24"/>
      <w:r>
        <w:rPr>
          <w:rFonts w:hint="eastAsia" w:hAnsi="宋体"/>
          <w:color w:val="auto"/>
          <w:sz w:val="21"/>
          <w:szCs w:val="21"/>
          <w:highlight w:val="none"/>
        </w:rPr>
        <w:t xml:space="preserve">（北京时间）</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3、开标地点：苏采云网上不见面开标大厅</w:t>
      </w:r>
      <w:r/>
    </w:p>
    <w:p>
      <w:pPr>
        <w:ind w:firstLine="480"/>
        <w:spacing w:line="360" w:lineRule="auto"/>
        <w:rPr>
          <w:rFonts w:hAnsi="宋体"/>
          <w:color w:val="auto"/>
          <w:sz w:val="21"/>
          <w:szCs w:val="21"/>
          <w:highlight w:val="none"/>
        </w:rPr>
      </w:pPr>
      <w:r>
        <w:rPr>
          <w:rFonts w:hint="eastAsia" w:hAnsi="宋体"/>
          <w:color w:val="auto"/>
          <w:sz w:val="21"/>
          <w:szCs w:val="21"/>
          <w:highlight w:val="none"/>
        </w:rPr>
        <w:t xml:space="preserve">4、现场地址：江苏省太仓市县府东街99号市政务服务中心3号楼3楼不见面开标间（查看当日三楼电子大屏幕提示信息）</w:t>
      </w:r>
      <w:r/>
    </w:p>
    <w:p>
      <w:pPr>
        <w:ind w:firstLine="420"/>
        <w:spacing w:line="360" w:lineRule="auto"/>
        <w:rPr>
          <w:rFonts w:hAnsi="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1"/>
          <w:szCs w:val="21"/>
          <w:highlight w:val="none"/>
        </w:rPr>
        <w:t xml:space="preserve">五、公告期限：</w:t>
      </w:r>
      <w:r/>
    </w:p>
    <w:p>
      <w:pPr>
        <w:ind w:firstLine="420"/>
        <w:spacing w:line="360" w:lineRule="auto"/>
        <w:rPr>
          <w:rFonts w:hAnsi="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1"/>
          <w:szCs w:val="21"/>
          <w:highlight w:val="none"/>
        </w:rPr>
        <w:t xml:space="preserve">自本公告发布之日起5个工作日。</w:t>
      </w:r>
      <w:r/>
    </w:p>
    <w:p>
      <w:pPr>
        <w:ind w:firstLine="420"/>
        <w:spacing w:line="360" w:lineRule="auto"/>
        <w:rPr>
          <w:rFonts w:hAnsi="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1"/>
          <w:szCs w:val="21"/>
          <w:highlight w:val="none"/>
        </w:rPr>
        <w:t xml:space="preserve">六、其他补充事宜</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hAnsi="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
          <w:color w:val="auto"/>
          <w:sz w:val="21"/>
          <w:szCs w:val="21"/>
          <w:highlight w:val="none"/>
        </w:rPr>
        <w:t xml:space="preserve">2、</w:t>
      </w:r>
      <w:r>
        <w:rPr>
          <w:rFonts w:hint="eastAsia" w:hAnsi="宋体"/>
          <w:bCs/>
          <w:color w:val="auto"/>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2）投标人登录苏采云系统，点击开标大厅，选择开标项目，完成不见面开标流程。</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3）投标截止时间后根据系统提示解密电子投标文件。</w:t>
      </w:r>
      <w:r>
        <w:rPr>
          <w:rFonts w:hint="eastAsia" w:hAnsi="宋体"/>
          <w:b/>
          <w:color w:val="auto"/>
          <w:sz w:val="21"/>
          <w:szCs w:val="21"/>
          <w:highlight w:val="none"/>
        </w:rPr>
        <w:t xml:space="preserve">解密时间以系统提示为准，</w:t>
      </w:r>
      <w:r>
        <w:rPr>
          <w:rFonts w:hint="eastAsia" w:hAnsi="宋体"/>
          <w:color w:val="auto"/>
          <w:sz w:val="21"/>
          <w:szCs w:val="21"/>
          <w:highlight w:val="none"/>
        </w:rPr>
        <w:t xml:space="preserve">未在规定时间内完成解密，其投标文件将被拒绝，不参与后续投标流程。</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4、</w:t>
      </w:r>
      <w:r>
        <w:rPr>
          <w:rFonts w:hint="eastAsia" w:hAnsi="宋体"/>
          <w:b/>
          <w:color w:val="auto"/>
          <w:sz w:val="21"/>
          <w:szCs w:val="21"/>
          <w:highlight w:val="none"/>
        </w:rPr>
        <w:t xml:space="preserve">有关苏采云系统驱动安装，</w:t>
      </w:r>
      <w:r>
        <w:rPr>
          <w:rFonts w:hint="eastAsia" w:hAnsi="宋体"/>
          <w:color w:val="auto"/>
          <w:sz w:val="21"/>
          <w:szCs w:val="21"/>
          <w:highlight w:val="none"/>
        </w:rPr>
        <w:t xml:space="preserve">登录苏州政府采购网，点击页面底部苏采云图标，进入苏采云政府采购一体化平台，点击“驱动下载”，下载</w:t>
      </w:r>
      <w:r>
        <w:rPr>
          <w:rFonts w:hint="eastAsia" w:hAnsi="宋体"/>
          <w:b/>
          <w:color w:val="auto"/>
          <w:sz w:val="21"/>
          <w:szCs w:val="21"/>
          <w:highlight w:val="none"/>
        </w:rPr>
        <w:t xml:space="preserve">“政务CA、方正签章控件驱动安装包及安装说明”</w:t>
      </w:r>
      <w:r>
        <w:rPr>
          <w:rFonts w:hint="eastAsia" w:hAnsi="宋体"/>
          <w:color w:val="auto"/>
          <w:sz w:val="21"/>
          <w:szCs w:val="21"/>
          <w:highlight w:val="none"/>
        </w:rPr>
        <w:t xml:space="preserve">文件，按要求安装驱动。</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5、</w:t>
      </w:r>
      <w:r>
        <w:rPr>
          <w:rFonts w:hint="eastAsia" w:hAnsi="宋体"/>
          <w:b/>
          <w:color w:val="auto"/>
          <w:sz w:val="21"/>
          <w:szCs w:val="21"/>
          <w:highlight w:val="none"/>
        </w:rPr>
        <w:t xml:space="preserve">有关供应商注册、报名、下载电子招标文件、制作上传电子投标文件</w:t>
      </w:r>
      <w:r>
        <w:rPr>
          <w:rFonts w:hint="eastAsia" w:hAnsi="宋体"/>
          <w:color w:val="auto"/>
          <w:sz w:val="21"/>
          <w:szCs w:val="21"/>
          <w:highlight w:val="none"/>
        </w:rPr>
        <w:t xml:space="preserve">、不见面开标及其他注意事项登录苏州政府采购网，在“下载中心”栏目下载“</w:t>
      </w:r>
      <w:r>
        <w:rPr>
          <w:rFonts w:hint="eastAsia" w:hAnsi="宋体"/>
          <w:b/>
          <w:color w:val="auto"/>
          <w:sz w:val="21"/>
          <w:szCs w:val="21"/>
          <w:highlight w:val="none"/>
        </w:rPr>
        <w:t xml:space="preserve">苏采云系统供应商操作手册”</w:t>
      </w:r>
      <w:r>
        <w:rPr>
          <w:rFonts w:hint="eastAsia" w:hAnsi="宋体"/>
          <w:color w:val="auto"/>
          <w:sz w:val="21"/>
          <w:szCs w:val="21"/>
          <w:highlight w:val="none"/>
        </w:rPr>
        <w:t xml:space="preserve">查阅。</w:t>
      </w:r>
      <w:r/>
    </w:p>
    <w:p>
      <w:pPr>
        <w:ind w:firstLine="420"/>
        <w:spacing w:line="360" w:lineRule="auto"/>
        <w:rPr>
          <w:rFonts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6、</w:t>
      </w:r>
      <w:r>
        <w:rPr>
          <w:rFonts w:hint="eastAsia" w:hAnsi="宋体"/>
          <w:b/>
          <w:color w:val="auto"/>
          <w:sz w:val="21"/>
          <w:szCs w:val="21"/>
          <w:highlight w:val="none"/>
        </w:rPr>
        <w:t xml:space="preserve">有关办理CA数字申领及电子签章事项</w:t>
      </w:r>
      <w:r>
        <w:rPr>
          <w:rFonts w:hint="eastAsia" w:hAnsi="宋体"/>
          <w:color w:val="auto"/>
          <w:sz w:val="21"/>
          <w:szCs w:val="21"/>
          <w:highlight w:val="none"/>
        </w:rPr>
        <w:t xml:space="preserve">，登录苏州政府采购网，点击页面底部苏采云图标，进入苏采云政府采购一体化平台，下载</w:t>
      </w:r>
      <w:r>
        <w:rPr>
          <w:rFonts w:hint="eastAsia" w:hAnsi="宋体"/>
          <w:b/>
          <w:color w:val="auto"/>
          <w:sz w:val="21"/>
          <w:szCs w:val="21"/>
          <w:highlight w:val="none"/>
        </w:rPr>
        <w:t xml:space="preserve">“新CA办理指南”</w:t>
      </w:r>
      <w:r>
        <w:rPr>
          <w:rFonts w:hint="eastAsia" w:hAnsi="宋体"/>
          <w:color w:val="auto"/>
          <w:sz w:val="21"/>
          <w:szCs w:val="21"/>
          <w:highlight w:val="none"/>
        </w:rPr>
        <w:t xml:space="preserve">文件查阅。</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7、投标保证金：本项目无须缴纳投标保证金。</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8、履约保证金：无。</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9、代理服务费：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10、本公告发布媒体：苏州市政府采购网等政府采购指定媒体。</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11、有关电子投标制作技术疑问，请咨询苏采云软件公司客服：18261002950、0512-69820854、0519-86722802。</w:t>
      </w:r>
      <w:r/>
    </w:p>
    <w:p>
      <w:pPr>
        <w:ind w:firstLine="480"/>
        <w:spacing w:line="360" w:lineRule="auto"/>
        <w:widowControl/>
        <w:rPr>
          <w:rFonts w:hAnsi="宋体"/>
          <w:color w:val="auto"/>
          <w:sz w:val="21"/>
          <w:szCs w:val="21"/>
          <w:highlight w:val="none"/>
        </w:rPr>
      </w:pPr>
      <w:r>
        <w:rPr>
          <w:rFonts w:hint="eastAsia" w:hAnsi="宋体"/>
          <w:color w:val="auto"/>
          <w:sz w:val="21"/>
          <w:szCs w:val="21"/>
          <w:highlight w:val="none"/>
        </w:rPr>
        <w:t xml:space="preserve">12、政府采购监督电话：0512-53512539。</w:t>
      </w:r>
      <w:r/>
    </w:p>
    <w:p>
      <w:pPr>
        <w:ind w:firstLine="420"/>
        <w:spacing w:line="360" w:lineRule="auto"/>
        <w:rPr>
          <w:rFonts w:hAnsi="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1"/>
          <w:szCs w:val="21"/>
          <w:highlight w:val="none"/>
        </w:rPr>
        <w:t xml:space="preserve">13、政府采购</w:t>
      </w:r>
      <w:r>
        <w:rPr>
          <w:rFonts w:hint="eastAsia" w:hAnsi="宋体"/>
          <w:bCs/>
          <w:color w:val="auto"/>
          <w:sz w:val="21"/>
          <w:szCs w:val="21"/>
          <w:highlight w:val="none"/>
        </w:rPr>
        <w:t xml:space="preserve">履约资金扶持政策：中标供应商可凭政府采购合同办理融资贷款，详情请见江苏政府采购网“政采贷”专栏。</w:t>
      </w:r>
      <w:r/>
    </w:p>
    <w:p>
      <w:pPr>
        <w:ind w:firstLine="420"/>
        <w:spacing w:line="360" w:lineRule="auto"/>
        <w:rPr>
          <w:rFonts w:hAnsi="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1"/>
          <w:szCs w:val="21"/>
          <w:highlight w:val="none"/>
        </w:rPr>
        <w:t xml:space="preserve">七、对本次招标提出询问，请按以下方式联系</w:t>
      </w:r>
      <w:bookmarkEnd w:id="5"/>
      <w:r/>
    </w:p>
    <w:p>
      <w:pPr>
        <w:ind w:firstLine="420"/>
        <w:jc w:val="left"/>
        <w:spacing w:line="360" w:lineRule="auto"/>
        <w:rPr>
          <w:rFonts w:hint="eastAsia" w:hAnsi="宋体"/>
          <w:bCs/>
          <w:color w:val="auto"/>
          <w:sz w:val="21"/>
          <w:szCs w:val="21"/>
          <w:highlight w:val="none"/>
        </w:rPr>
        <w:outlineLvl w:val="0"/>
      </w:pPr>
      <w:r/>
      <w:bookmarkStart w:id="8" w:name="_Toc159507036"/>
      <w:r>
        <w:rPr>
          <w:rFonts w:hint="eastAsia" w:hAnsi="宋体"/>
          <w:bCs/>
          <w:color w:val="auto"/>
          <w:sz w:val="21"/>
          <w:szCs w:val="21"/>
          <w:highlight w:val="none"/>
        </w:rPr>
        <w:t xml:space="preserve">1、采购人信息：</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名称:太仓市明德高级中学</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地址:江苏省苏州市太仓市东仓南路128号 </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联系方式:闫  龙    0512-53595806</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2、采购代理机构信息：</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名    称：江苏兆丰项目管理有限公司</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地    址：太仓市常胜北路16号3楼</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联系方式： 陈雪娇   13776182834</w:t>
      </w:r>
      <w:r/>
    </w:p>
    <w:p>
      <w:pPr>
        <w:ind w:firstLine="420"/>
        <w:jc w:val="left"/>
        <w:spacing w:line="360" w:lineRule="auto"/>
        <w:rPr>
          <w:rFonts w:hint="eastAsia" w:hAnsi="宋体"/>
          <w:bCs/>
          <w:color w:val="auto"/>
          <w:sz w:val="21"/>
          <w:szCs w:val="21"/>
          <w:highlight w:val="none"/>
        </w:rPr>
        <w:outlineLvl w:val="0"/>
      </w:pPr>
      <w:r>
        <w:rPr>
          <w:rFonts w:hint="eastAsia" w:hAnsi="宋体"/>
          <w:bCs/>
          <w:color w:val="auto"/>
          <w:sz w:val="21"/>
          <w:szCs w:val="21"/>
          <w:highlight w:val="none"/>
        </w:rPr>
        <w:t xml:space="preserve">3、项目联系方式</w:t>
      </w:r>
      <w:r/>
    </w:p>
    <w:p>
      <w:pPr>
        <w:ind w:firstLine="420"/>
        <w:jc w:val="left"/>
        <w:spacing w:line="360" w:lineRule="auto"/>
        <w:rPr>
          <w:rFonts w:hAnsi="宋体"/>
          <w:b/>
          <w:bCs/>
          <w:color w:val="auto"/>
          <w:sz w:val="36"/>
          <w:szCs w:val="36"/>
          <w:highlight w:val="none"/>
        </w:rPr>
        <w:outlineLvl w:val="0"/>
      </w:pPr>
      <w:r>
        <w:rPr>
          <w:rFonts w:hint="eastAsia" w:hAnsi="宋体"/>
          <w:bCs/>
          <w:color w:val="auto"/>
          <w:sz w:val="21"/>
          <w:szCs w:val="21"/>
          <w:highlight w:val="none"/>
        </w:rPr>
        <w:t xml:space="preserve">项目联系人： 陈雪娇   电 话： 13776182834</w:t>
      </w:r>
      <w:r/>
    </w:p>
    <w:p>
      <w:pPr>
        <w:jc w:val="center"/>
        <w:spacing w:line="360" w:lineRule="auto"/>
        <w:rPr>
          <w:rFonts w:hAnsi="宋体"/>
          <w:b/>
          <w:bCs/>
          <w:color w:val="auto"/>
          <w:sz w:val="36"/>
          <w:szCs w:val="36"/>
          <w:highlight w:val="none"/>
        </w:rPr>
        <w:outlineLvl w:val="0"/>
      </w:pPr>
      <w:r>
        <w:rPr>
          <w:rFonts w:hAnsi="宋体"/>
          <w:b/>
          <w:bCs/>
          <w:color w:val="auto"/>
          <w:sz w:val="36"/>
          <w:szCs w:val="36"/>
          <w:highlight w:val="none"/>
        </w:rPr>
      </w:r>
      <w:r/>
    </w:p>
    <w:p>
      <w:pPr>
        <w:jc w:val="center"/>
        <w:spacing w:line="360" w:lineRule="auto"/>
        <w:rPr>
          <w:rFonts w:hAnsi="宋体"/>
          <w:b/>
          <w:bCs/>
          <w:color w:val="auto"/>
          <w:sz w:val="36"/>
          <w:szCs w:val="36"/>
          <w:highlight w:val="none"/>
        </w:rPr>
        <w:outlineLvl w:val="0"/>
      </w:pPr>
      <w:r>
        <w:rPr>
          <w:rFonts w:hAnsi="宋体"/>
          <w:b/>
          <w:bCs/>
          <w:color w:val="auto"/>
          <w:sz w:val="36"/>
          <w:szCs w:val="36"/>
          <w:highlight w:val="none"/>
        </w:rPr>
      </w:r>
      <w:r/>
    </w:p>
    <w:p>
      <w:pPr>
        <w:rPr>
          <w:rFonts w:hAnsi="宋体"/>
          <w:b/>
          <w:bCs/>
          <w:color w:val="auto"/>
          <w:sz w:val="36"/>
          <w:szCs w:val="36"/>
          <w:highlight w:val="none"/>
        </w:rPr>
      </w:pPr>
      <w:r>
        <w:rPr>
          <w:rFonts w:hint="eastAsia" w:hAnsi="宋体"/>
          <w:b/>
          <w:bCs/>
          <w:color w:val="auto"/>
          <w:sz w:val="36"/>
          <w:szCs w:val="36"/>
          <w:highlight w:val="none"/>
        </w:rPr>
        <w:br w:type="page" w:clear="all"/>
      </w:r>
      <w:r/>
    </w:p>
    <w:p>
      <w:pPr>
        <w:jc w:val="center"/>
        <w:spacing w:line="360" w:lineRule="auto"/>
        <w:rPr>
          <w:rFonts w:hAnsi="宋体"/>
          <w:b/>
          <w:bCs/>
          <w:color w:val="auto"/>
          <w:sz w:val="36"/>
          <w:szCs w:val="36"/>
          <w:highlight w:val="none"/>
        </w:rPr>
        <w:outlineLvl w:val="0"/>
      </w:pPr>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8"/>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一、说明和释义</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1、说明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 本招标文件仅适用于江苏兆丰项目管理有限公司组织的招标活动。</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1.2 本次招标活动及因本次招标产生的合同受中国法律制约和保护。</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1.3 本招标文件的解释权属于江苏兆丰项目管理有限公司。</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2、词语释义</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z w:val="21"/>
          <w:highlight w:val="none"/>
        </w:rPr>
        <w:t xml:space="preserve">2.1 </w:t>
      </w:r>
      <w:r>
        <w:rPr>
          <w:rFonts w:hint="eastAsia" w:hAnsi="宋体" w:cs="宋体"/>
          <w:b w:val="0"/>
          <w:bCs w:val="0"/>
          <w:color w:val="auto"/>
          <w:spacing w:val="-3"/>
          <w:sz w:val="21"/>
          <w:highlight w:val="none"/>
        </w:rPr>
        <w:t xml:space="preserve">采购人：指依法进行政府采购的国家机关、事业单位、团体组织。</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2.2 供应商：指向采购人提供货物、工程或服务的法人、其他组织或者自然人。</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2.3 投标人：指参加政府采购货物服务投标活动的供应商。</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2.4 采购代理机构：指依法接受采购人委托，从事货物、工程和服务等政府采购招标代理业务的社会中介机构。</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2.5 招标采购单位：采购人及采购代理机构的统称。</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2.7 响应：投标人根据采购人或采购代理机构发售的招标文件，编制投标文件并按规定投标的行为。</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2.8 知识产权：指专利权、商标权、著作权等无形财产专有权的统称。</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2.9 天：日历日。</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2.11 合同价款：根据合同规定，乙方在正确地履行合同义务后甲方应支付乙方的价款。</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2.12 货物：系指乙方按招标采购文件规定，应向甲方提供的一切设备、备品、备件、工具、手册及其它有关技术资料和材料。</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2.15 交货地点：合同中明确约定的乙方提交的货物最终地点。</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2.16 不可抗力：不能预见、不能避免并且不能克服的客观情况。</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2.18 实质性响应：满足有关本次采购标的、数量、质量、价款或者报酬、履行期限、履行地点和方式、违约责任和解决争议方法等要求。</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2.19 进口产品：通过中国海关报关验放进入中国境内且产自关境外的产品。</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2.20 书面形式：指书面文字、合同书、信件和传真等可有形地表现所载内容的形式。</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二、投标人</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3、合格投标人的范围</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z w:val="21"/>
          <w:highlight w:val="none"/>
        </w:rPr>
        <w:t xml:space="preserve">3.1 </w:t>
      </w:r>
      <w:r>
        <w:rPr>
          <w:rFonts w:hint="eastAsia" w:hAnsi="宋体" w:cs="宋体"/>
          <w:b w:val="0"/>
          <w:bCs w:val="0"/>
          <w:color w:val="auto"/>
          <w:spacing w:val="-3"/>
          <w:sz w:val="21"/>
          <w:highlight w:val="none"/>
        </w:rPr>
        <w:t xml:space="preserve">符合《中华人民共和国政府采购法》第二十二条第一款之规定。</w:t>
      </w:r>
      <w:r/>
    </w:p>
    <w:p>
      <w:pPr>
        <w:pStyle w:val="753"/>
        <w:ind w:left="0" w:firstLine="420"/>
        <w:jc w:val="both"/>
        <w:spacing w:line="360" w:lineRule="auto"/>
        <w:rPr>
          <w:rFonts w:hAnsi="宋体" w:cs="宋体"/>
          <w:b w:val="0"/>
          <w:bCs w:val="0"/>
          <w:color w:val="auto"/>
          <w:spacing w:val="-3"/>
          <w:sz w:val="21"/>
          <w:highlight w:val="none"/>
        </w:rPr>
      </w:pPr>
      <w:r>
        <w:rPr>
          <w:rFonts w:hint="eastAsia" w:hAnsi="宋体" w:cs="宋体"/>
          <w:b w:val="0"/>
          <w:bCs w:val="0"/>
          <w:color w:val="auto"/>
          <w:spacing w:val="-3"/>
          <w:sz w:val="21"/>
          <w:highlight w:val="none"/>
        </w:rPr>
        <w:t xml:space="preserve">3.2 满足本文件实质性条款的规定。</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4、合格投标人的特定条件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4.1 </w:t>
      </w:r>
      <w:r>
        <w:rPr>
          <w:rFonts w:hint="eastAsia" w:hAnsi="宋体" w:cs="宋体"/>
          <w:b w:val="0"/>
          <w:bCs w:val="0"/>
          <w:color w:val="auto"/>
          <w:spacing w:val="-3"/>
          <w:sz w:val="21"/>
          <w:highlight w:val="none"/>
        </w:rPr>
        <w:t xml:space="preserve">详见招标公告规定。</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5、投标委托</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5.1 指全权代表投标人参加投标活动并签署投标文件的人，如果投标人代表不是法定代表人代表， 须持有《法定代表人代表授权委托书》（详见统一格式）。</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6、投标费用</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6.1 无论投标过程的做法和结果如何,投标人自行承担所有与参加投标有关的全部费用。</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7、联合投标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7.1 本项目不接受联合投标。</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三、招标文件的说明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8、招标文件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8.2 招标文件及其更正文件不是直接从采购代理机构或指定媒体获得的，采购代理机构对招标文件及其补遗的真实性、完整性不承担任何责任。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9、现场踏勘</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10. 招标文件的澄清</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10.1 投标人在获取招标文件后，若有疑问，应于投标截止时间之前，向采购代理机构提出，采购代理机构将予以解答。</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10.2 如有必要，问题答复将以“变更公告”形式由采购代理机构按照本须知第 10 条的规定发出。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11.招标文件的修改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11.2 迟于规定的询问和提交的疑问，采购人和采购代理机构有权拒绝回答，也不承担由此带来的对投标人投标结果的影响。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11.3 在投标截止时间 15 日前，招标采购单位无论出于自己的考虑，还是出于对投标人提问的澄清，均可对已发出的招标文件进行必要澄清或者修改。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11.5 招标文件的更正（含澄清、修改等）内容与原招标文件在同一内容上表述不一致时，以发出日期最接近开标时间的公告为准。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11.6 招标文件的更正（含澄清、修改等）内容将在财政部门指定的政府采购信息发布媒体上发布， 作为招标文件的组成部分，对投标人起约束作用。</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11.7 </w:t>
      </w:r>
      <w:r>
        <w:rPr>
          <w:rFonts w:hint="eastAsia" w:hAnsi="宋体" w:cs="宋体"/>
          <w:color w:val="auto"/>
          <w:sz w:val="21"/>
          <w:highlight w:val="none"/>
        </w:rPr>
        <w:t xml:space="preserve">招标文件若有最新的答疑文件，投标供应商必须下载并使用该文件制作新的电子投标文件，否则将无法完成电子投标文件的上传及投标。</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四、投标文件说明</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12、提示与要求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12.2 无论是否递交投标文件，投标人都应将招标文件及以后的所有通知、文件等视为保密文件。</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13、投标文件计量单位和使用文字</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13.1 投标文件中所使用的计量单位，除招标文件中有特殊要求外，均应使用中华人民共和国法定计量单位。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14、知识产权</w:t>
      </w:r>
      <w:r/>
    </w:p>
    <w:p>
      <w:pPr>
        <w:pStyle w:val="764"/>
        <w:ind w:left="0" w:firstLine="426"/>
        <w:jc w:val="both"/>
        <w:spacing w:before="0" w:line="360" w:lineRule="auto"/>
        <w:rPr>
          <w:rFonts w:hAnsi="宋体" w:cs="宋体"/>
          <w:b/>
          <w:bCs/>
          <w:color w:val="auto"/>
          <w:sz w:val="21"/>
          <w:highlight w:val="none"/>
        </w:rPr>
      </w:pPr>
      <w:r>
        <w:rPr>
          <w:rFonts w:hint="eastAsia" w:hAnsi="宋体" w:cs="宋体"/>
          <w:color w:val="auto"/>
          <w:sz w:val="21"/>
          <w:highlight w:val="none"/>
        </w:rPr>
        <w:t xml:space="preserve">14.1</w:t>
      </w:r>
      <w:r>
        <w:rPr>
          <w:rFonts w:hint="eastAsia" w:hAnsi="宋体" w:cs="宋体"/>
          <w:color w:val="auto"/>
          <w:spacing w:val="-6"/>
          <w:sz w:val="21"/>
          <w:highlight w:val="none"/>
        </w:rPr>
        <w:t xml:space="preserve"> 投标人应保证在本项目使用的任何产品</w:t>
      </w:r>
      <w:r>
        <w:rPr>
          <w:rFonts w:hint="eastAsia" w:hAnsi="宋体" w:cs="宋体"/>
          <w:color w:val="auto"/>
          <w:spacing w:val="-3"/>
          <w:sz w:val="21"/>
          <w:highlight w:val="none"/>
        </w:rPr>
        <w:t xml:space="preserve">（包括部分使用</w:t>
      </w:r>
      <w:r>
        <w:rPr>
          <w:rFonts w:hint="eastAsia" w:hAnsi="宋体" w:cs="宋体"/>
          <w:color w:val="auto"/>
          <w:spacing w:val="-12"/>
          <w:sz w:val="21"/>
          <w:highlight w:val="none"/>
        </w:rPr>
        <w:t xml:space="preserve">）</w:t>
      </w:r>
      <w:r>
        <w:rPr>
          <w:rFonts w:hint="eastAsia" w:hAnsi="宋体" w:cs="宋体"/>
          <w:color w:val="auto"/>
          <w:spacing w:val="-4"/>
          <w:sz w:val="21"/>
          <w:highlight w:val="none"/>
        </w:rPr>
        <w:t xml:space="preserve">时，不会产生因第三方提出侵犯其专利权、商标权或其它知识产权而引起的法律和经济纠纷，如因专利权、商标权或其它知识产权而引</w:t>
      </w:r>
      <w:r>
        <w:rPr>
          <w:rFonts w:hint="eastAsia" w:hAnsi="宋体" w:cs="宋体"/>
          <w:color w:val="auto"/>
          <w:spacing w:val="-3"/>
          <w:sz w:val="21"/>
          <w:highlight w:val="none"/>
        </w:rPr>
        <w:t xml:space="preserve">起法律和经济纠纷，由投标人承担所有相关责任。</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15、投标文件的组成和顺序（顺序以软件为准）</w:t>
      </w:r>
      <w:r/>
    </w:p>
    <w:p>
      <w:pPr>
        <w:pStyle w:val="753"/>
        <w:ind w:left="0" w:firstLine="420"/>
        <w:jc w:val="both"/>
        <w:spacing w:line="360" w:lineRule="auto"/>
        <w:rPr>
          <w:rFonts w:hint="eastAsia" w:hAnsi="宋体" w:cs="宋体"/>
          <w:b/>
          <w:bCs w:val="0"/>
          <w:color w:val="auto"/>
          <w:sz w:val="21"/>
          <w:highlight w:val="none"/>
        </w:rPr>
      </w:pPr>
      <w:r>
        <w:rPr>
          <w:rFonts w:hint="eastAsia" w:hAnsi="宋体" w:cs="宋体"/>
          <w:b/>
          <w:bCs w:val="0"/>
          <w:color w:val="auto"/>
          <w:sz w:val="21"/>
          <w:highlight w:val="none"/>
          <w:lang w:eastAsia="zh-CN"/>
        </w:rPr>
        <w:t xml:space="preserve">15</w:t>
      </w:r>
      <w:r>
        <w:rPr>
          <w:rFonts w:hint="eastAsia" w:hAnsi="宋体" w:cs="宋体"/>
          <w:b/>
          <w:bCs w:val="0"/>
          <w:color w:val="auto"/>
          <w:sz w:val="21"/>
          <w:highlight w:val="none"/>
        </w:rPr>
        <w:t xml:space="preserve">.1报价部分：</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.1.1 开标一览表（系统内直接填写）；</w:t>
      </w:r>
      <w:r/>
    </w:p>
    <w:p>
      <w:pPr>
        <w:pStyle w:val="753"/>
        <w:ind w:left="0" w:firstLine="420"/>
        <w:jc w:val="both"/>
        <w:spacing w:line="360" w:lineRule="auto"/>
        <w:rPr>
          <w:rFonts w:hint="eastAsia" w:hAnsi="宋体" w:eastAsia="宋体" w:cs="宋体"/>
          <w:b w:val="0"/>
          <w:bCs/>
          <w:color w:val="auto"/>
          <w:sz w:val="21"/>
          <w:highlight w:val="none"/>
          <w:lang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.1.2投标报价明细表</w:t>
      </w:r>
      <w:r>
        <w:rPr>
          <w:rFonts w:hint="eastAsia" w:hAnsi="宋体" w:cs="宋体"/>
          <w:b w:val="0"/>
          <w:bCs/>
          <w:color w:val="auto"/>
          <w:sz w:val="21"/>
          <w:highlight w:val="none"/>
          <w:lang w:eastAsia="zh-CN"/>
        </w:rPr>
        <w:t xml:space="preserve">。</w:t>
      </w:r>
      <w:r/>
    </w:p>
    <w:p>
      <w:pPr>
        <w:pStyle w:val="753"/>
        <w:ind w:left="0" w:firstLine="420"/>
        <w:jc w:val="both"/>
        <w:spacing w:line="360" w:lineRule="auto"/>
        <w:rPr>
          <w:rFonts w:hint="eastAsia" w:hAnsi="宋体" w:cs="宋体"/>
          <w:b/>
          <w:bCs w:val="0"/>
          <w:color w:val="auto"/>
          <w:sz w:val="21"/>
          <w:highlight w:val="none"/>
        </w:rPr>
      </w:pPr>
      <w:r>
        <w:rPr>
          <w:rFonts w:hint="eastAsia" w:hAnsi="宋体" w:cs="宋体"/>
          <w:b/>
          <w:bCs w:val="0"/>
          <w:color w:val="auto"/>
          <w:sz w:val="21"/>
          <w:highlight w:val="none"/>
          <w:lang w:eastAsia="zh-CN"/>
        </w:rPr>
        <w:t xml:space="preserve">15</w:t>
      </w:r>
      <w:r>
        <w:rPr>
          <w:rFonts w:hint="eastAsia" w:hAnsi="宋体" w:cs="宋体"/>
          <w:b/>
          <w:bCs w:val="0"/>
          <w:color w:val="auto"/>
          <w:sz w:val="21"/>
          <w:highlight w:val="none"/>
        </w:rPr>
        <w:t xml:space="preserve">.2 资格性、符合性、技术、商务部分：</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.2.1资格证明文件部分：</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.2.1.1具有独立承担民事责任的能力：提供投标单位营业执照及法定代表人身份证扫描件或自然人的身份证明、授权委托书（如有授权）、被授权人身份证（如有授权）、关于资格文件的声明函、</w:t>
      </w:r>
      <w:r>
        <w:rPr>
          <w:rFonts w:hint="eastAsia" w:hAnsi="宋体" w:cs="宋体"/>
          <w:b w:val="0"/>
          <w:bCs/>
          <w:color w:val="auto"/>
          <w:sz w:val="21"/>
          <w:highlight w:val="none"/>
          <w:lang w:val="en-US" w:eastAsia="zh-CN"/>
        </w:rPr>
        <w:t xml:space="preserve">投标承诺函、</w:t>
      </w:r>
      <w:r>
        <w:rPr>
          <w:rFonts w:hint="eastAsia" w:hAnsi="宋体" w:cs="宋体"/>
          <w:b w:val="0"/>
          <w:bCs/>
          <w:color w:val="auto"/>
          <w:sz w:val="21"/>
          <w:highlight w:val="none"/>
        </w:rPr>
        <w:t xml:space="preserve">投标人基本情况表。（详见投标文件格式）</w:t>
      </w:r>
      <w:r/>
    </w:p>
    <w:p>
      <w:pPr>
        <w:pStyle w:val="753"/>
        <w:ind w:left="0" w:firstLine="420"/>
        <w:jc w:val="both"/>
        <w:spacing w:line="360" w:lineRule="auto"/>
        <w:rPr>
          <w:rFonts w:hint="eastAsia" w:hAnsi="宋体" w:eastAsia="宋体" w:cs="宋体"/>
          <w:b w:val="0"/>
          <w:bCs/>
          <w:color w:val="auto"/>
          <w:sz w:val="21"/>
          <w:highlight w:val="none"/>
          <w:lang w:val="en-US"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.2.1.2具有良好的商业信誉和健全的财务会计制度：提供参加本次政府采购活动前的财务状况报告或者银行出具的资信证明</w:t>
      </w:r>
      <w:r>
        <w:rPr>
          <w:rFonts w:hint="eastAsia" w:hAnsi="宋体" w:cs="宋体"/>
          <w:b w:val="0"/>
          <w:bCs/>
          <w:color w:val="auto"/>
          <w:sz w:val="21"/>
          <w:highlight w:val="none"/>
          <w:lang w:val="en-US" w:eastAsia="zh-CN"/>
        </w:rPr>
        <w:t xml:space="preserve">。</w:t>
      </w:r>
      <w:r/>
    </w:p>
    <w:p>
      <w:pPr>
        <w:pStyle w:val="753"/>
        <w:ind w:left="0" w:firstLine="420"/>
        <w:jc w:val="both"/>
        <w:spacing w:line="360" w:lineRule="auto"/>
        <w:rPr>
          <w:rFonts w:hint="eastAsia" w:hAnsi="宋体" w:eastAsia="宋体" w:cs="宋体"/>
          <w:b w:val="0"/>
          <w:bCs/>
          <w:color w:val="auto"/>
          <w:sz w:val="21"/>
          <w:highlight w:val="none"/>
          <w:lang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.2.1.3具有履行合同所必需的设备和专业技术能力：提供履行合同所必需的设备和专业技术能力的证明材料或书面声明</w:t>
      </w:r>
      <w:r>
        <w:rPr>
          <w:rFonts w:hint="eastAsia" w:hAnsi="宋体" w:cs="宋体"/>
          <w:b w:val="0"/>
          <w:bCs/>
          <w:color w:val="auto"/>
          <w:sz w:val="21"/>
          <w:highlight w:val="none"/>
          <w:lang w:eastAsia="zh-CN"/>
        </w:rPr>
        <w:t xml:space="preserve">。</w:t>
      </w:r>
      <w:r/>
    </w:p>
    <w:p>
      <w:pPr>
        <w:pStyle w:val="753"/>
        <w:ind w:left="0" w:firstLine="420"/>
        <w:jc w:val="both"/>
        <w:spacing w:line="360" w:lineRule="auto"/>
        <w:rPr>
          <w:rFonts w:hint="eastAsia" w:hAnsi="宋体" w:eastAsia="宋体" w:cs="宋体"/>
          <w:b w:val="0"/>
          <w:bCs/>
          <w:color w:val="auto"/>
          <w:sz w:val="21"/>
          <w:highlight w:val="none"/>
          <w:lang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.2.1.4具有依法缴纳税收和社会保障资金的良好记录：提供参加本次政府采购活动前半年任意一个月份依法缴纳税收和社会保障资金的证明材料</w:t>
      </w:r>
      <w:r>
        <w:rPr>
          <w:rFonts w:hint="eastAsia" w:hAnsi="宋体" w:cs="宋体"/>
          <w:b w:val="0"/>
          <w:bCs/>
          <w:color w:val="auto"/>
          <w:sz w:val="21"/>
          <w:highlight w:val="none"/>
          <w:lang w:eastAsia="zh-CN"/>
        </w:rPr>
        <w:t xml:space="preserve">。</w:t>
      </w:r>
      <w:r/>
    </w:p>
    <w:p>
      <w:pPr>
        <w:pStyle w:val="753"/>
        <w:ind w:left="0" w:firstLine="420"/>
        <w:jc w:val="both"/>
        <w:spacing w:line="360" w:lineRule="auto"/>
        <w:rPr>
          <w:rFonts w:hint="eastAsia" w:hAnsi="宋体" w:eastAsia="宋体" w:cs="宋体"/>
          <w:b w:val="0"/>
          <w:bCs/>
          <w:color w:val="auto"/>
          <w:sz w:val="21"/>
          <w:highlight w:val="none"/>
          <w:lang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.2.1.5参加政府采购活动前三年内，在经营活动中没有重大违法记录：提供参加本次政府采购活动前3年内在经营活动中没有重大违法记录的书面声明（详见投标文件格式）</w:t>
      </w:r>
      <w:r>
        <w:rPr>
          <w:rFonts w:hint="eastAsia" w:hAnsi="宋体" w:cs="宋体"/>
          <w:b w:val="0"/>
          <w:bCs/>
          <w:color w:val="auto"/>
          <w:sz w:val="21"/>
          <w:highlight w:val="none"/>
          <w:lang w:eastAsia="zh-CN"/>
        </w:rPr>
        <w:t xml:space="preserve">。</w:t>
      </w:r>
      <w:r/>
    </w:p>
    <w:p>
      <w:pPr>
        <w:pStyle w:val="753"/>
        <w:ind w:left="0" w:firstLine="420"/>
        <w:jc w:val="both"/>
        <w:spacing w:line="360" w:lineRule="auto"/>
        <w:rPr>
          <w:rFonts w:hint="eastAsia" w:hAnsi="宋体" w:eastAsia="宋体" w:cs="宋体"/>
          <w:b w:val="0"/>
          <w:bCs/>
          <w:color w:val="auto"/>
          <w:sz w:val="21"/>
          <w:highlight w:val="none"/>
          <w:lang w:eastAsia="zh-CN"/>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.2.1.</w:t>
      </w:r>
      <w:r>
        <w:rPr>
          <w:rFonts w:hint="eastAsia" w:hAnsi="宋体" w:cs="宋体"/>
          <w:b w:val="0"/>
          <w:bCs/>
          <w:color w:val="auto"/>
          <w:sz w:val="21"/>
          <w:highlight w:val="none"/>
          <w:lang w:val="en-US" w:eastAsia="zh-CN"/>
        </w:rPr>
        <w:t xml:space="preserve">6</w:t>
      </w:r>
      <w:r>
        <w:rPr>
          <w:rFonts w:hint="eastAsia" w:hAnsi="宋体" w:cs="宋体"/>
          <w:b w:val="0"/>
          <w:bCs/>
          <w:color w:val="auto"/>
          <w:sz w:val="21"/>
          <w:highlight w:val="none"/>
        </w:rPr>
        <w:t xml:space="preserve">特定资格条件，投标人证明其符合招标文件规定的投标人特定资格条件的证书、证明和文件材料；（如有）</w:t>
      </w:r>
      <w:r>
        <w:rPr>
          <w:rFonts w:hint="eastAsia" w:hAnsi="宋体" w:cs="宋体"/>
          <w:b w:val="0"/>
          <w:bCs/>
          <w:color w:val="auto"/>
          <w:sz w:val="21"/>
          <w:highlight w:val="none"/>
          <w:lang w:eastAsia="zh-CN"/>
        </w:rPr>
        <w:t xml:space="preserve">。</w:t>
      </w:r>
      <w:r/>
    </w:p>
    <w:p>
      <w:pPr>
        <w:pStyle w:val="753"/>
        <w:ind w:left="0" w:firstLine="420"/>
        <w:jc w:val="both"/>
        <w:spacing w:line="360" w:lineRule="auto"/>
        <w:rPr>
          <w:rFonts w:hint="eastAsia" w:hAnsi="宋体" w:eastAsia="宋体" w:cs="宋体"/>
          <w:b/>
          <w:bCs w:val="0"/>
          <w:color w:val="auto"/>
          <w:sz w:val="21"/>
          <w:highlight w:val="none"/>
          <w:lang w:eastAsia="zh-CN"/>
        </w:rPr>
      </w:pPr>
      <w:r>
        <w:rPr>
          <w:rFonts w:hint="eastAsia" w:hAnsi="宋体" w:cs="宋体"/>
          <w:b/>
          <w:bCs w:val="0"/>
          <w:color w:val="auto"/>
          <w:sz w:val="21"/>
          <w:highlight w:val="none"/>
          <w:lang w:eastAsia="zh-CN"/>
        </w:rPr>
        <w:t xml:space="preserve">15</w:t>
      </w:r>
      <w:r>
        <w:rPr>
          <w:rFonts w:hint="eastAsia" w:hAnsi="宋体" w:cs="宋体"/>
          <w:b/>
          <w:bCs w:val="0"/>
          <w:color w:val="auto"/>
          <w:sz w:val="21"/>
          <w:highlight w:val="none"/>
        </w:rPr>
        <w:t xml:space="preserve">.2.2 符合性审查文件部分</w:t>
      </w:r>
      <w:r>
        <w:rPr>
          <w:rFonts w:hint="eastAsia" w:hAnsi="宋体" w:cs="宋体"/>
          <w:b/>
          <w:bCs w:val="0"/>
          <w:color w:val="auto"/>
          <w:sz w:val="21"/>
          <w:highlight w:val="none"/>
          <w:lang w:eastAsia="zh-CN"/>
        </w:rPr>
        <w:t xml:space="preserve">：</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.2.2.1服务条款偏离表（详见投标文件格式）；</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.2.2.2商务条款偏离表（详见投标文件格式）；</w:t>
      </w:r>
      <w:r/>
    </w:p>
    <w:p>
      <w:pPr>
        <w:pStyle w:val="753"/>
        <w:ind w:left="0" w:firstLine="420"/>
        <w:jc w:val="both"/>
        <w:spacing w:line="360" w:lineRule="auto"/>
        <w:rPr>
          <w:rFonts w:hint="eastAsia" w:hAnsi="宋体" w:cs="宋体"/>
          <w:b/>
          <w:bCs w:val="0"/>
          <w:color w:val="auto"/>
          <w:sz w:val="21"/>
          <w:highlight w:val="none"/>
        </w:rPr>
      </w:pPr>
      <w:r>
        <w:rPr>
          <w:rFonts w:hint="eastAsia" w:hAnsi="宋体" w:cs="宋体"/>
          <w:b/>
          <w:bCs w:val="0"/>
          <w:color w:val="auto"/>
          <w:sz w:val="21"/>
          <w:highlight w:val="none"/>
          <w:lang w:eastAsia="zh-CN"/>
        </w:rPr>
        <w:t xml:space="preserve">15</w:t>
      </w:r>
      <w:r>
        <w:rPr>
          <w:rFonts w:hint="eastAsia" w:hAnsi="宋体" w:cs="宋体"/>
          <w:b/>
          <w:bCs w:val="0"/>
          <w:color w:val="auto"/>
          <w:sz w:val="21"/>
          <w:highlight w:val="none"/>
        </w:rPr>
        <w:t xml:space="preserve">.2.3技术及商务部分（投标人视各自的情况按评审要求自行编制）</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.2.3.1相关业绩一览表及相关证明材料（详见投标文件格式）；</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.2.3.2相关证书一览表</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.2.3.3投入本项目技术（服务）人员一览表及相关证明材料（详见投标文件格式）；</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.2.3.4项目的技术及服务方案等；</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.2.3.5招标文件及评分标准中要求提供的其他相关材料</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.2.3.6其他需投标人对本次投标的详细说明（投标人视各自的情况自行编制）</w:t>
      </w:r>
      <w:r/>
    </w:p>
    <w:p>
      <w:pPr>
        <w:pStyle w:val="753"/>
        <w:ind w:left="0" w:firstLine="420"/>
        <w:jc w:val="both"/>
        <w:spacing w:line="360" w:lineRule="auto"/>
        <w:rPr>
          <w:rFonts w:hint="eastAsia" w:hAnsi="宋体" w:cs="宋体"/>
          <w:b/>
          <w:bCs w:val="0"/>
          <w:color w:val="auto"/>
          <w:sz w:val="21"/>
          <w:highlight w:val="none"/>
        </w:rPr>
      </w:pPr>
      <w:r>
        <w:rPr>
          <w:rFonts w:hint="eastAsia" w:hAnsi="宋体" w:cs="宋体"/>
          <w:b/>
          <w:bCs w:val="0"/>
          <w:color w:val="auto"/>
          <w:sz w:val="21"/>
          <w:highlight w:val="none"/>
          <w:lang w:eastAsia="zh-CN"/>
        </w:rPr>
        <w:t xml:space="preserve">15</w:t>
      </w:r>
      <w:r>
        <w:rPr>
          <w:rFonts w:hint="eastAsia" w:hAnsi="宋体" w:cs="宋体"/>
          <w:b/>
          <w:bCs w:val="0"/>
          <w:color w:val="auto"/>
          <w:sz w:val="21"/>
          <w:highlight w:val="none"/>
        </w:rPr>
        <w:t xml:space="preserve">.2.4 价格折扣文件（本项目为专门面向中小微企业采购的项目，小微企业参与本项目的不享受价格扣除优惠政策）</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.2.4.1 中小企业声明函（如有）</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.2.4.2残疾人福利性单位声明函（如有）；</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.2.4.3 属于监狱企业的证明文件（如有）；</w:t>
      </w:r>
      <w:r/>
    </w:p>
    <w:p>
      <w:pPr>
        <w:pStyle w:val="753"/>
        <w:ind w:left="0" w:firstLine="420"/>
        <w:jc w:val="both"/>
        <w:spacing w:line="360" w:lineRule="auto"/>
        <w:rPr>
          <w:rFonts w:hint="eastAsia" w:hAnsi="宋体" w:cs="宋体"/>
          <w:b w:val="0"/>
          <w:bCs/>
          <w:color w:val="auto"/>
          <w:sz w:val="21"/>
          <w:highlight w:val="none"/>
        </w:rPr>
      </w:pPr>
      <w:r>
        <w:rPr>
          <w:rFonts w:hint="eastAsia" w:hAnsi="宋体" w:cs="宋体"/>
          <w:b w:val="0"/>
          <w:bCs/>
          <w:color w:val="auto"/>
          <w:sz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.3投标文件由</w:t>
      </w: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.1、</w:t>
      </w:r>
      <w:r>
        <w:rPr>
          <w:rFonts w:hint="eastAsia" w:hAnsi="宋体" w:cs="宋体"/>
          <w:b w:val="0"/>
          <w:bCs/>
          <w:color w:val="auto"/>
          <w:sz w:val="21"/>
          <w:highlight w:val="none"/>
          <w:lang w:eastAsia="zh-CN"/>
        </w:rPr>
        <w:t xml:space="preserve">15</w:t>
      </w:r>
      <w:r>
        <w:rPr>
          <w:rFonts w:hint="eastAsia" w:hAnsi="宋体" w:cs="宋体"/>
          <w:b w:val="0"/>
          <w:bCs/>
          <w:color w:val="auto"/>
          <w:sz w:val="21"/>
          <w:highlight w:val="none"/>
        </w:rPr>
        <w:t xml:space="preserve">.2款规定的内容共同组成。</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16、投标文件编制要求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16.1 电子投标文件编制要求：投标人应使用</w:t>
      </w:r>
      <w:r>
        <w:rPr>
          <w:rFonts w:hint="eastAsia" w:hAnsi="宋体" w:cs="宋体"/>
          <w:color w:val="auto"/>
          <w:sz w:val="21"/>
          <w:highlight w:val="none"/>
        </w:rPr>
        <w:t xml:space="preserve">招标文件要求的投标文件制作软件制作电子投标文件</w:t>
      </w:r>
      <w:r>
        <w:rPr>
          <w:rFonts w:hint="eastAsia" w:hAnsi="宋体" w:cs="宋体"/>
          <w:b w:val="0"/>
          <w:bCs w:val="0"/>
          <w:color w:val="auto"/>
          <w:sz w:val="21"/>
          <w:highlight w:val="none"/>
        </w:rPr>
        <w:t xml:space="preserve">，电子投标文件按招标文件规定的格式制作，如果未按要求制作上传，可能导致投标无效。</w:t>
      </w:r>
      <w:r/>
    </w:p>
    <w:p>
      <w:pPr>
        <w:pStyle w:val="753"/>
        <w:ind w:left="0" w:firstLine="420"/>
        <w:jc w:val="both"/>
        <w:spacing w:line="360" w:lineRule="auto"/>
        <w:rPr>
          <w:rFonts w:hAnsi="宋体" w:cs="宋体"/>
          <w:bCs w:val="0"/>
          <w:color w:val="auto"/>
          <w:sz w:val="21"/>
          <w:highlight w:val="none"/>
        </w:rPr>
      </w:pPr>
      <w:r>
        <w:rPr>
          <w:rFonts w:hint="eastAsia" w:hAnsi="宋体" w:cs="宋体"/>
          <w:bCs w:val="0"/>
          <w:color w:val="auto"/>
          <w:sz w:val="21"/>
          <w:highlight w:val="none"/>
        </w:rPr>
        <w:t xml:space="preserve">16.2电子投标准备</w:t>
      </w:r>
      <w:r/>
    </w:p>
    <w:p>
      <w:pPr>
        <w:pStyle w:val="753"/>
        <w:ind w:left="0" w:firstLine="420"/>
        <w:jc w:val="both"/>
        <w:spacing w:line="360" w:lineRule="auto"/>
        <w:rPr>
          <w:rFonts w:hAnsi="宋体" w:cs="宋体"/>
          <w:bCs w:val="0"/>
          <w:color w:val="auto"/>
          <w:sz w:val="21"/>
          <w:highlight w:val="none"/>
        </w:rPr>
      </w:pPr>
      <w:r>
        <w:rPr>
          <w:rFonts w:hint="eastAsia" w:hAnsi="宋体" w:cs="宋体"/>
          <w:bCs w:val="0"/>
          <w:color w:val="auto"/>
          <w:sz w:val="21"/>
          <w:highlight w:val="none"/>
        </w:rPr>
        <w:t xml:space="preserve">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Fonts w:hint="eastAsia" w:hAnsi="宋体" w:cs="宋体"/>
          <w:color w:val="auto"/>
          <w:sz w:val="21"/>
          <w:highlight w:val="none"/>
        </w:rPr>
        <w:t xml:space="preserve">https：//czju.suzhou.gov.cn/zfcg/html/content/20231220161910031.shtml</w:t>
      </w:r>
      <w:r>
        <w:rPr>
          <w:rFonts w:hint="eastAsia" w:hAnsi="宋体" w:cs="宋体"/>
          <w:color w:val="auto"/>
          <w:sz w:val="21"/>
          <w:highlight w:val="none"/>
        </w:rPr>
        <w:fldChar w:fldCharType="end"/>
      </w:r>
      <w:r>
        <w:rPr>
          <w:rFonts w:hint="eastAsia" w:hAnsi="宋体" w:cs="宋体"/>
          <w:bCs w:val="0"/>
          <w:color w:val="auto"/>
          <w:sz w:val="21"/>
          <w:highlight w:val="none"/>
        </w:rPr>
        <w:t xml:space="preserve">）</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17、投标报价（编制）要求的说明</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17.3 一项投标内容只允许一个报价，招标采购单位不接受任何有选择性的投标报价。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17.4 投标文件报价中的单价和总价全部采用人民币表示，除非合同的特殊条款另有规定。</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17.5 最低的投标报价或最高的折扣比例是中标的重要条件，但不是中标的唯一条件。</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18、投标保证金</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本项目无须缴纳投标保证金。</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19、投标文件的有效期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19.2 在特殊情况下，招标采购单位可与投标人协商延长投标书的有效期。这种要求和答复都应以书面形式进行。</w:t>
      </w:r>
      <w:r>
        <w:rPr>
          <w:rFonts w:hint="eastAsia" w:hAnsi="宋体" w:cs="宋体"/>
          <w:color w:val="auto"/>
          <w:sz w:val="21"/>
          <w:highlight w:val="none"/>
        </w:rPr>
        <w:t xml:space="preserve">同意延长有效期的投标人不能修改投标文件。拒绝接受延期要求的投标人的投标将被拒绝。</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五、投标文件的递交、撤回和修改</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20、投标文件的上传、提交</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20.1 投标人应将制作好的加密电子投标文件按要求在投标截止时间前上传到交易系统平台中。</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21、投标截止时间</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21.1 电子投标文件必须按招标公告中规定的网上投标截止时间前提交，否则投标无效。</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21.3 在投标截止时间止采购代理机构收到的电子投标文件少于三份的，采购代理机构有权宣布本次招标失败。</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22、投标文件的修改和撤回</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22.1 投标人在提交投标文件截止时间前，可对其投标文件进行撤回或修改。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22.2 开标后投标人不得撤回投标。</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六、开标和评标</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23、开标</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23.1 采购代理机构按采购公告规定的时间、地点主持不见面开标活动。开标仪式由采购代理机构主持。</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23.2</w:t>
      </w:r>
      <w:r>
        <w:rPr>
          <w:rFonts w:hint="eastAsia" w:hAnsi="宋体" w:cs="宋体"/>
          <w:color w:val="auto"/>
          <w:sz w:val="21"/>
          <w:highlight w:val="none"/>
        </w:rPr>
        <w:t xml:space="preserve"> 参加开标的投标法定代表人或授权代理人须在项目开标前登录苏采云不见面开标系统，进入网上不见面开标大厅，做好相关准备工作。</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23.3 </w:t>
      </w:r>
      <w:r>
        <w:rPr>
          <w:rFonts w:hint="eastAsia" w:hAnsi="宋体" w:cs="宋体"/>
          <w:color w:val="auto"/>
          <w:sz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23.4 采购代理机构在开标仪式上，将公布投标人的名称、投标价格，并将作唱标记录。</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23.5 投标人代表对开标过程和开标记录有疑义，以及认为采购人、采购代理机构相关工作人员有需要回避的情形的，</w:t>
      </w:r>
      <w:r>
        <w:rPr>
          <w:rFonts w:hint="eastAsia" w:hAnsi="宋体" w:cs="宋体"/>
          <w:color w:val="auto"/>
          <w:sz w:val="21"/>
          <w:highlight w:val="none"/>
        </w:rPr>
        <w:t xml:space="preserve">应通过不见面开标大厅</w:t>
      </w:r>
      <w:r>
        <w:rPr>
          <w:rFonts w:hint="eastAsia" w:hAnsi="宋体" w:cs="宋体"/>
          <w:b w:val="0"/>
          <w:bCs w:val="0"/>
          <w:color w:val="auto"/>
          <w:sz w:val="21"/>
          <w:highlight w:val="none"/>
        </w:rPr>
        <w:t xml:space="preserve">提出询问或者回避申请。采购人、采购代理机构对投标人代表提出的询问或者回避申请应当及时处理。</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24、评标委员会</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24.1 评标委员会由招标采购单位依法组建，负责本项目的评标事务。</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24.2 评标委员会独立履行下列职责：</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24.2.1 审查投标文件是否符合招标文件的要求，并作评价；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24.2.2 可要求投标供应商对投标文件有关事项作解释或澄清；</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24.2.3 评标委员会负责本次招标的评标活动，向采购人推荐中标供应商；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24.2.4 向招标采购单位或者有关部门报告非法干预评标工作的行为。</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 评标委员会成员应当履行下列义务：</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24.3.1 遵纪守法，客观、公正、廉洁地履行职责；</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24.3.2 按照招标文件规定的评标办法和评标标准进行评标，对评审意见承担个人责任；</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24.3.3 对评标过程和结果，以及投标人的商业秘密保密；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24.3.4 参与评标报告的起草；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24.3.5 配合相关部门的投诉处理工作；</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24.3.6 配合招标采购单位答复投标供应商提出的质疑。</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25、评标内容的保密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25.2 在投标文件的审查、澄清、评价和比较以及授予合同的过程中，投标人对招标采购单位和评标委员会成员施加影响的任何行为，都将取消其投标资格。</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25.3 在评标期间，招标采购单位将通过指定联络人与投标人进行联系。</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26、对投标文件初审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26.1 投标文件初审分为资格性检查和符合性检查。</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26.1.1 资格性检查。依据法律法规和招标文件的规定，</w:t>
      </w:r>
      <w:r>
        <w:rPr>
          <w:rFonts w:hint="eastAsia" w:hAnsi="宋体" w:cs="宋体"/>
          <w:color w:val="auto"/>
          <w:sz w:val="21"/>
          <w:highlight w:val="none"/>
        </w:rPr>
        <w:t xml:space="preserve">对投标文件中的资格证明相关资料进行审查，以确定投标供应商是否具备投标资格。</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26.1.2 </w:t>
      </w:r>
      <w:r>
        <w:rPr>
          <w:rFonts w:hint="eastAsia" w:hAnsi="宋体" w:cs="宋体"/>
          <w:color w:val="auto"/>
          <w:sz w:val="21"/>
          <w:highlight w:val="none"/>
        </w:rPr>
        <w:t xml:space="preserve">关于诚信记录查询：</w:t>
      </w:r>
      <w:r/>
    </w:p>
    <w:p>
      <w:pPr>
        <w:pStyle w:val="753"/>
        <w:ind w:left="0" w:firstLine="420"/>
        <w:jc w:val="both"/>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53"/>
        <w:ind w:left="0" w:firstLine="420"/>
        <w:jc w:val="both"/>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lang w:val="en-US" w:eastAsia="zh-CN"/>
        </w:rPr>
        <w:t xml:space="preserve">1）</w:t>
      </w:r>
      <w:r>
        <w:rPr>
          <w:rFonts w:hint="eastAsia" w:hAnsi="宋体" w:cs="宋体"/>
          <w:b w:val="0"/>
          <w:bCs w:val="0"/>
          <w:color w:val="auto"/>
          <w:sz w:val="21"/>
          <w:highlight w:val="none"/>
        </w:rPr>
        <w:t xml:space="preserve">查询时间：评标开始前。</w:t>
      </w:r>
      <w:r/>
    </w:p>
    <w:p>
      <w:pPr>
        <w:pStyle w:val="753"/>
        <w:ind w:left="0" w:firstLine="420"/>
        <w:jc w:val="both"/>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lang w:val="en-US" w:eastAsia="zh-CN"/>
        </w:rPr>
        <w:t xml:space="preserve">2）</w:t>
      </w:r>
      <w:r>
        <w:rPr>
          <w:rFonts w:hint="eastAsia" w:hAnsi="宋体" w:cs="宋体"/>
          <w:b w:val="0"/>
          <w:bCs w:val="0"/>
          <w:color w:val="auto"/>
          <w:sz w:val="21"/>
          <w:highlight w:val="none"/>
        </w:rPr>
        <w:t xml:space="preserve">查询渠道：通过“信用中国”网站、中国政府采购网等渠道查询相关主体信用记录。</w:t>
      </w:r>
      <w:r/>
    </w:p>
    <w:p>
      <w:pPr>
        <w:pStyle w:val="753"/>
        <w:ind w:left="0" w:firstLine="420"/>
        <w:jc w:val="both"/>
        <w:spacing w:line="360" w:lineRule="auto"/>
        <w:rPr>
          <w:rFonts w:hint="eastAsia" w:hAnsi="宋体" w:cs="宋体"/>
          <w:b w:val="0"/>
          <w:bCs w:val="0"/>
          <w:color w:val="auto"/>
          <w:sz w:val="21"/>
          <w:highlight w:val="none"/>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lang w:val="en-US" w:eastAsia="zh-CN"/>
        </w:rPr>
        <w:t xml:space="preserve">3）</w:t>
      </w:r>
      <w:r>
        <w:rPr>
          <w:rFonts w:hint="eastAsia" w:hAnsi="宋体" w:cs="宋体"/>
          <w:b w:val="0"/>
          <w:bCs w:val="0"/>
          <w:color w:val="auto"/>
          <w:sz w:val="21"/>
          <w:highlight w:val="none"/>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lang w:eastAsia="zh-CN"/>
        </w:rPr>
        <w:t xml:space="preserve">（</w:t>
      </w:r>
      <w:r>
        <w:rPr>
          <w:rFonts w:hint="eastAsia" w:hAnsi="宋体" w:cs="宋体"/>
          <w:b w:val="0"/>
          <w:bCs w:val="0"/>
          <w:color w:val="auto"/>
          <w:sz w:val="21"/>
          <w:highlight w:val="none"/>
          <w:lang w:val="en-US" w:eastAsia="zh-CN"/>
        </w:rPr>
        <w:t xml:space="preserve">4）</w:t>
      </w:r>
      <w:r>
        <w:rPr>
          <w:rFonts w:hint="eastAsia" w:hAnsi="宋体" w:cs="宋体"/>
          <w:b w:val="0"/>
          <w:bCs w:val="0"/>
          <w:color w:val="auto"/>
          <w:sz w:val="21"/>
          <w:highlight w:val="none"/>
        </w:rPr>
        <w:t xml:space="preserve">信用记录使用规则：评审小组在对供应商进行资格性审查时，应根据查询结果对供应商的不良信用记录逐项甄别确认。</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26.1.3 符合性检查。依据招标文件的规定，从投标文件的有效性、完整性和对招标文件的响应程度进行审查，以确定是否对招标文件的实质性要求作响应。</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26.2.1 不同投标人的投标文件由同一单位或者个人编制；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26.2.2 不同投标人委托同一单位或者个人办理投标事宜；</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26.2.3 不同投标人的投标文件载明的项目管理成员或者联系人员为同一人；</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26.2.4 不同投标人的投标文件异常一致或者投标报价呈规律性差异；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26.2.5 不同投标人的投标文件相互混装。</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26.6 评委会将对确定为实质性响应的投标进行审核，看其是否有计算上或累加上的算术错误，修正错误的原则如下：</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26.6.1 投标文件中开标一览表（报价表）内容与投标文件中相应内容不一致的，以开标一览表（报价表）为准；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26.6.2 大写金额和小写金额不一致的，以大写金额为准；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26.6.3 单价金额小数点或者百分比有明显错位的，以开标一览表的总价为准，并修改单价；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26.6.4 总价金额与按单价汇总金额不一致的，以单价金额计算结果为准。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同时出现两种以上不一致的，按照前款规定的顺序修正。修正后的报价按照本须知 26.6 条规定经投标人确认后产生约束力，投标人不确认的，其投标无效。</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26.8 对不同文字文本投标文件的解释发生异议的，以中文文本为准；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26.9 评标委员会对投标文件的判定，只依据投标内容本身，不依靠开标后的任何外来证明。</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26.10 评标委员会将拒绝被确定为非实质性响应的投标，投标人不能通过修正或撤销不符之处而使其投标成为实质性响应的投标。</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27、投标的澄清</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28、废标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 无效投标的具体情形有：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28.1.1 不同投标人的投标文件使用同一台电脑编制的；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28.1.2 投标文件未按招标文件要求签署、盖章的；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28.1.3 不具备招标文件中规定的资格要求的；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28.1.4 报价超过招标文件中规定的预算金额或者最高限价的；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28.1.5 投标文件含有采购人不能接受的附加条件的；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28.1.6 法律、法规和招标文件规定的其他无效情形。</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28.2 在招标采购中，出现下列情形之一的，应予废标：</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28.2.1 符合专业条件的供应商或者对招标文件作实质响应的供应商不足三家的；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28.2.2 出现影响采购公正的违法、违规行为的；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28.2.3 投标人的报价均超过了采购预算，采购人不能支付的；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28.2.4 因重大变故，采购任务取消的。</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28.3 废标后，采购人应当将废标理由通知所有投标人。</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29、投标文件的评价和比较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29.1 评标委员会按招标文件规定的评标方法和标准，仅对资格性检查和符合性检查合格的投标文件进行商务和技术评估，综合比较与评价。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29.2.1 服务的质量保证（保障）内容；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29.2.2 服务配备的人员；</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29.2.3 投标者的资信情况和履约能力；</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29.2.4 投标者提供的其他优惠条件；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29.2.5 参与本项目政府采购工作的态度及信誉；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29.2.6 最低的投标报价或最高的折扣比例是中标的重要条件，但不是唯一条件。</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七、签订合同</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30、中标单位的确认</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30.2 经评标委员会评审并确定中标供应商后，采购代理机构将在规定的时间内将中标结果在相关媒体上予以公告。</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30.4 质疑函递交地点及联系方式详见 37.3 质疑函接收单位信息。</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31、合同授予</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32、中标通知书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32.2 中标通知书在中标公告发布后将发布在业务系统中，中标通知书发布之日视为中标供应商领取之日，中标供应商自行在业务系统中下载打印。</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32.3 中标通知书将成为合同的组成部分。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32.4 采购代理机构对未中标供应商不承担解释未中标原因的义务。</w:t>
      </w:r>
      <w:r/>
    </w:p>
    <w:p>
      <w:pPr>
        <w:pStyle w:val="753"/>
        <w:ind w:left="0" w:firstLine="420"/>
        <w:jc w:val="both"/>
        <w:spacing w:line="360" w:lineRule="auto"/>
        <w:rPr>
          <w:rFonts w:hint="default" w:hAnsi="宋体" w:eastAsia="宋体" w:cs="宋体"/>
          <w:color w:val="auto"/>
          <w:sz w:val="21"/>
          <w:highlight w:val="none"/>
          <w:lang w:val="en-US" w:eastAsia="zh-CN"/>
        </w:rPr>
      </w:pPr>
      <w:r>
        <w:rPr>
          <w:rFonts w:hint="eastAsia" w:hAnsi="宋体" w:cs="宋体"/>
          <w:color w:val="auto"/>
          <w:sz w:val="21"/>
          <w:highlight w:val="none"/>
        </w:rPr>
        <w:t xml:space="preserve">33、履约保证金</w:t>
      </w: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如有）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33.1 中标供应商按合同约定的要求提交履约保证金。</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33.2 履约保证金用以约束供应商在合同履行中的行为，弥补合同执行中由于自身行为可能给采购人带来的各种损失。</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33.3 履约保证金（无息）将在中标供应商合同履行完毕后，采购人在五个工作日内退还中标供应商。</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34、合同的签订</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34.2 签订合同及合同条款应以招标文件和中标供应商的投标文件及其澄清文件为依据。</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八、质疑与投诉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35、</w:t>
      </w:r>
      <w:r>
        <w:rPr>
          <w:rFonts w:hint="eastAsia" w:hAnsi="宋体" w:cs="宋体"/>
          <w:b w:val="0"/>
          <w:bCs w:val="0"/>
          <w:color w:val="auto"/>
          <w:sz w:val="21"/>
          <w:highlight w:val="none"/>
        </w:rPr>
        <w:t xml:space="preserve">质疑的提出和答复、投诉的提起和处理须按《政府采购质疑和投诉办法》（中华人民共和国财政部令第 94 号）相关规定执行。</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36、质疑的提出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36.2 供应商认为采购文件、采购过程、中标或者</w:t>
      </w:r>
      <w:r>
        <w:rPr>
          <w:rFonts w:hint="eastAsia" w:hAnsi="宋体" w:cs="宋体"/>
          <w:b w:val="0"/>
          <w:bCs w:val="0"/>
          <w:color w:val="auto"/>
          <w:sz w:val="21"/>
          <w:highlight w:val="none"/>
          <w:lang w:eastAsia="zh-CN"/>
        </w:rPr>
        <w:t xml:space="preserve">中标</w:t>
      </w:r>
      <w:r>
        <w:rPr>
          <w:rFonts w:hint="eastAsia" w:hAnsi="宋体" w:cs="宋体"/>
          <w:b w:val="0"/>
          <w:bCs w:val="0"/>
          <w:color w:val="auto"/>
          <w:sz w:val="21"/>
          <w:highlight w:val="none"/>
        </w:rPr>
        <w:t xml:space="preserve">结果使自己的权益受到损害的，可以在知道或应知其权益受到损害之日起 7 个工作日内，以书面形式向采购人、采购代理机构提出质疑。</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36.3 上述应知其权益受到损害之日是指：</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（1）对采购文件提出质疑的，为获取采购文件或者采购文件公告期限届满之日起计算；</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（2）对采购过程提出质疑的，自采购程序环节结束之日起计算；</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（3）对中标结果提出质疑的，自中标结果公告期限届满之日起计算。</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36.4 供应商提出质疑应当提交质疑函和必要的证明材料。质疑函应当包括下列内容：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（1）供应商的姓名或者名称、地址、邮编、联系人及联系电话；</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（2）质疑项目的名称、编号；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（3）具体、明确的质疑事项和与质疑事项相关的请求；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（4）事实依据；</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（5）必要的法律依据；</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（6）提出质疑的日期。</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36.5 质疑函的格式和内容应当符合财政部《政府采购供应商质疑函范本》 要求，质疑函范本在财政部官网上提供下载。</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36.6 提交质疑函同时应当附如下证明材料：</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（1）对采购文件提出质疑的供应商提供参加本项目的报名确认单；</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（2）质疑供应商的营业执照复印件加盖单位公章；</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（3）质疑供应商法定代表人身份证复印件加盖单位公章；</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36.8 供应商须在法定质疑期内一次性提出针对同一采购程序环节的质疑。</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37、质疑的受理与答复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37.1 采购人负责供应商质疑答复。采购人委托采购代理机构采购的，采购代理机构在委托授权范围内作出答复。</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37.2 质疑函由采购代理机构办理签收手续。</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37.3 质疑函接收单位信息：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接收单位：江苏兆丰项目管理有限公司</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地址：太仓市常胜北路16号3楼</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邮编：215400</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联系人：陈天慧</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电话：18501522989</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37.4 采购人、采购代理机构应当在收到质疑函后 7 个工作日内作出答复，并以书面形式通知质疑供应商和其他有关供应商。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37.5 采购人、采购代理机构处理的其他要求按《政府采购质疑和投诉办法》（中华人民共和国财政部令第 94 号）相关规定执行。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38、投诉的提起</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（1）投诉人和被投诉人的姓名或者名称、通讯地址、邮编、联系人及联系电话；</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（2）质疑和质疑答复情况说明及相关证明材料；</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（3）具体、明确的投诉事项和与投诉事项相关的投诉请求；</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（4）事实依据；</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（5）法律依据；</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（6）提起投诉的日期。</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38.4 投诉人提起投诉应当符合下列条件：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（1）提起投诉前已依法进行质疑；</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（2）投诉书内容符合本办法的规定；</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（3）在投诉有效期限内提起投诉；</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（4）同一投诉事项未经财政部门投诉处理；</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（5）财政部规定的其他条件。</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38.5 供应商投诉的事项不得超出已质疑事项的范围，但基于质疑答复内容提出的投诉事项除外。</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38.6 由采购人所属预算级次的财政部门根据《政府采购质疑和投诉办法》（中华人民共和国财政部令第 94 号）相关规定进行投诉处理。</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九、其他事项 </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39、中标服务费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39.1 本项目的采购代理服务费由中标单位承担，按采购预算金额计算并支付中标服务费；中标单位在领取中标通知书时付清。中标服务收费按差额定率累进法计算：预算金额100万元（含）以下部分，收费费率为 1.5%；100万元～500万元（含）部分，收费费率为1.1%；500万元～1000万元（含）部分，收费费率为0.8%；1000万元～5000万元（含）部分，收费费率为0.5%；5000万元以上部分，收费费率为0.25%；不足3500元，按3500元收取中标服务费。</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39.2 中标单位如果未按规定缴纳中标服务费，招标采购单位将保留诉讼的权利。</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40、监督和公证</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40.1 政府有关监督部门将对招投标全过程进行监督。</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40.2 采购代理机构的招标过程将通过公证机关进行公证。</w:t>
      </w:r>
      <w:r/>
    </w:p>
    <w:p>
      <w:pPr>
        <w:pStyle w:val="753"/>
        <w:ind w:left="0" w:firstLine="420"/>
        <w:jc w:val="both"/>
        <w:spacing w:line="360" w:lineRule="auto"/>
        <w:rPr>
          <w:rFonts w:hAnsi="宋体" w:cs="宋体"/>
          <w:color w:val="auto"/>
          <w:sz w:val="21"/>
          <w:highlight w:val="none"/>
        </w:rPr>
      </w:pPr>
      <w:r>
        <w:rPr>
          <w:rFonts w:hint="eastAsia" w:hAnsi="宋体" w:cs="宋体"/>
          <w:color w:val="auto"/>
          <w:sz w:val="21"/>
          <w:highlight w:val="none"/>
        </w:rPr>
        <w:t xml:space="preserve">41、未尽事宜</w:t>
      </w:r>
      <w:r/>
    </w:p>
    <w:p>
      <w:pPr>
        <w:pStyle w:val="753"/>
        <w:ind w:left="0" w:firstLine="420"/>
        <w:jc w:val="both"/>
        <w:spacing w:line="360" w:lineRule="auto"/>
        <w:rPr>
          <w:rFonts w:hAnsi="宋体" w:cs="宋体"/>
          <w:b w:val="0"/>
          <w:bCs w:val="0"/>
          <w:color w:val="auto"/>
          <w:sz w:val="21"/>
          <w:highlight w:val="none"/>
        </w:rPr>
      </w:pPr>
      <w:r>
        <w:rPr>
          <w:rFonts w:hint="eastAsia" w:hAnsi="宋体" w:cs="宋体"/>
          <w:b w:val="0"/>
          <w:bCs w:val="0"/>
          <w:color w:val="auto"/>
          <w:sz w:val="21"/>
          <w:highlight w:val="none"/>
        </w:rPr>
        <w:t xml:space="preserve">按《中华人民共和国政府采购法》及其他有关政府采购的法律法规的的规定执行。</w:t>
      </w:r>
      <w:r/>
    </w:p>
    <w:p>
      <w:pPr>
        <w:pStyle w:val="764"/>
        <w:ind w:left="0"/>
        <w:jc w:val="both"/>
        <w:spacing w:before="0" w:line="360" w:lineRule="auto"/>
        <w:rPr>
          <w:rFonts w:hAnsi="宋体"/>
          <w:color w:val="auto"/>
          <w:sz w:val="21"/>
          <w:highlight w:val="none"/>
        </w:rPr>
        <w:sectPr>
          <w:footerReference w:type="default" r:id="rId11"/>
          <w:footnotePr/>
          <w:endnotePr/>
          <w:type w:val="nextPage"/>
          <w:pgSz w:w="11906" w:h="16838" w:orient="portrait"/>
          <w:pgMar w:top="1417" w:right="1701" w:bottom="1417" w:left="170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9"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9"/>
      <w:r/>
      <w:r/>
    </w:p>
    <w:p>
      <w:pPr>
        <w:pStyle w:val="938"/>
        <w:ind w:firstLine="0"/>
        <w:spacing w:line="360" w:lineRule="auto"/>
        <w:rPr>
          <w:rFonts w:hAnsi="宋体"/>
          <w:color w:val="auto"/>
          <w:highlight w:val="none"/>
        </w:rPr>
      </w:pPr>
      <w:r>
        <w:rPr>
          <w:rFonts w:hAnsi="宋体"/>
          <w:color w:val="auto"/>
          <w:highlight w:val="none"/>
        </w:rPr>
      </w:r>
      <w:r/>
    </w:p>
    <w:p>
      <w:pPr>
        <w:ind w:firstLine="420"/>
        <w:spacing w:line="360" w:lineRule="auto"/>
        <w:rPr>
          <w:rFonts w:hAnsi="宋体"/>
          <w:color w:val="auto"/>
          <w:sz w:val="21"/>
          <w:szCs w:val="21"/>
          <w:highlight w:val="none"/>
        </w:rPr>
      </w:pPr>
      <w:r/>
      <w:bookmarkStart w:id="10" w:name="_Hlk121126111"/>
      <w:r>
        <w:rPr>
          <w:rFonts w:hint="eastAsia" w:hAnsi="宋体"/>
          <w:color w:val="auto"/>
          <w:sz w:val="21"/>
          <w:szCs w:val="21"/>
          <w:highlight w:val="none"/>
        </w:rPr>
        <w:t xml:space="preserve">江苏兆丰项目管理有限公司受</w:t>
      </w:r>
      <w:r>
        <w:rPr>
          <w:rFonts w:hint="eastAsia" w:hAnsi="宋体"/>
          <w:color w:val="auto"/>
          <w:sz w:val="21"/>
          <w:szCs w:val="21"/>
          <w:highlight w:val="none"/>
          <w:lang w:eastAsia="zh-CN"/>
        </w:rPr>
        <w:t xml:space="preserve">太仓市明德高级中学</w:t>
      </w:r>
      <w:r>
        <w:rPr>
          <w:rFonts w:hint="eastAsia" w:hAnsi="宋体"/>
          <w:color w:val="auto"/>
          <w:sz w:val="21"/>
          <w:szCs w:val="21"/>
          <w:highlight w:val="none"/>
        </w:rPr>
        <w:t xml:space="preserve">的委托，就其</w:t>
      </w:r>
      <w:r>
        <w:rPr>
          <w:rFonts w:hint="eastAsia" w:hAnsi="宋体"/>
          <w:color w:val="auto"/>
          <w:sz w:val="21"/>
          <w:szCs w:val="21"/>
          <w:highlight w:val="none"/>
          <w:lang w:eastAsia="zh-CN"/>
        </w:rPr>
        <w:t xml:space="preserve">太仓市明德高级中学房屋安全鉴定服务</w:t>
      </w:r>
      <w:r>
        <w:rPr>
          <w:rFonts w:hint="eastAsia" w:hAnsi="宋体"/>
          <w:color w:val="auto"/>
          <w:sz w:val="21"/>
          <w:szCs w:val="21"/>
          <w:highlight w:val="none"/>
        </w:rPr>
        <w:t xml:space="preserve">进行国内公开招标。欢迎有资格的投标人前来参加投标。</w:t>
      </w:r>
      <w:r/>
    </w:p>
    <w:p>
      <w:pPr>
        <w:spacing w:line="360" w:lineRule="auto"/>
        <w:rPr>
          <w:rFonts w:hAnsi="宋体"/>
          <w:color w:val="auto"/>
          <w:sz w:val="21"/>
          <w:szCs w:val="21"/>
          <w:highlight w:val="none"/>
        </w:rPr>
      </w:pPr>
      <w:r>
        <w:rPr>
          <w:rFonts w:hint="eastAsia" w:hAnsi="宋体"/>
          <w:b/>
          <w:bCs/>
          <w:color w:val="auto"/>
          <w:sz w:val="21"/>
          <w:szCs w:val="21"/>
          <w:highlight w:val="none"/>
        </w:rPr>
        <w:t xml:space="preserve">一、招标编号</w:t>
      </w:r>
      <w:r>
        <w:rPr>
          <w:rFonts w:hint="eastAsia" w:hAnsi="宋体"/>
          <w:color w:val="auto"/>
          <w:sz w:val="21"/>
          <w:szCs w:val="21"/>
          <w:highlight w:val="none"/>
        </w:rPr>
        <w:t xml:space="preserve">：</w:t>
      </w:r>
      <w:r>
        <w:rPr>
          <w:rFonts w:hint="eastAsia" w:hAnsi="宋体"/>
          <w:color w:val="auto"/>
          <w:sz w:val="21"/>
          <w:szCs w:val="21"/>
          <w:highlight w:val="none"/>
          <w:lang w:eastAsia="zh-CN"/>
        </w:rPr>
        <w:t xml:space="preserve">JSZC-320585-ZFXM-G2025-0031</w:t>
      </w:r>
      <w:r>
        <w:rPr>
          <w:rFonts w:hint="eastAsia" w:hAnsi="宋体"/>
          <w:color w:val="auto"/>
          <w:sz w:val="21"/>
          <w:szCs w:val="21"/>
          <w:highlight w:val="none"/>
        </w:rPr>
        <w:t xml:space="preserve"> </w:t>
      </w:r>
      <w:r/>
    </w:p>
    <w:p>
      <w:pPr>
        <w:spacing w:line="360" w:lineRule="auto"/>
        <w:rPr>
          <w:rFonts w:hAnsi="宋体"/>
          <w:color w:val="auto"/>
          <w:sz w:val="21"/>
          <w:szCs w:val="21"/>
          <w:highlight w:val="none"/>
        </w:rPr>
      </w:pPr>
      <w:r>
        <w:rPr>
          <w:rFonts w:hint="eastAsia" w:hAnsi="宋体"/>
          <w:b/>
          <w:bCs/>
          <w:color w:val="auto"/>
          <w:sz w:val="21"/>
          <w:szCs w:val="21"/>
          <w:highlight w:val="none"/>
        </w:rPr>
        <w:t xml:space="preserve">二、招标项目</w:t>
      </w:r>
      <w:r>
        <w:rPr>
          <w:rFonts w:hint="eastAsia" w:hAnsi="宋体"/>
          <w:color w:val="auto"/>
          <w:sz w:val="21"/>
          <w:szCs w:val="21"/>
          <w:highlight w:val="none"/>
        </w:rPr>
        <w:t xml:space="preserve">：</w:t>
      </w:r>
      <w:r/>
    </w:p>
    <w:p>
      <w:pPr>
        <w:ind w:firstLine="42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1、项目名称：</w:t>
      </w:r>
      <w:r>
        <w:rPr>
          <w:rFonts w:hint="eastAsia" w:hAnsi="宋体"/>
          <w:color w:val="auto"/>
          <w:sz w:val="21"/>
          <w:szCs w:val="21"/>
          <w:highlight w:val="none"/>
          <w:lang w:eastAsia="zh-CN"/>
        </w:rPr>
        <w:t xml:space="preserve">太仓市明德高级中学房屋安全鉴定服务</w:t>
      </w:r>
      <w:r/>
    </w:p>
    <w:p>
      <w:pPr>
        <w:ind w:firstLine="42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2、预算金额：</w:t>
      </w:r>
      <w:r>
        <w:rPr>
          <w:rFonts w:hint="eastAsia" w:hAnsi="宋体"/>
          <w:color w:val="auto"/>
          <w:sz w:val="21"/>
          <w:szCs w:val="21"/>
          <w:highlight w:val="none"/>
          <w:lang w:eastAsia="zh-CN"/>
        </w:rPr>
        <w:t xml:space="preserve">71.85万</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3、最高限价：同预算金额</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4、合同履行期限：</w:t>
      </w:r>
      <w:r>
        <w:rPr>
          <w:rFonts w:hint="eastAsia" w:hAnsi="宋体"/>
          <w:color w:val="auto"/>
          <w:sz w:val="21"/>
          <w:szCs w:val="21"/>
          <w:highlight w:val="none"/>
          <w:lang w:eastAsia="zh-CN"/>
        </w:rPr>
        <w:t xml:space="preserve">自合同签订后30个工作日内完成所有检测工作，安全性鉴定报告上传苏州市房屋安全鉴定管理信息系统，审核通过后出具安全性鉴定报告。</w:t>
      </w:r>
      <w:r/>
    </w:p>
    <w:p>
      <w:pPr>
        <w:spacing w:line="360" w:lineRule="auto"/>
        <w:rPr>
          <w:color w:val="auto"/>
          <w:highlight w:val="none"/>
        </w:rPr>
      </w:pPr>
      <w:r>
        <w:rPr>
          <w:rFonts w:hint="eastAsia"/>
          <w:b/>
          <w:bCs/>
          <w:color w:val="auto"/>
          <w:highlight w:val="none"/>
        </w:rPr>
        <w:t xml:space="preserve">三、采购需求</w:t>
      </w:r>
      <w:r>
        <w:rPr>
          <w:rFonts w:hint="eastAsia"/>
          <w:color w:val="auto"/>
          <w:highlight w:val="none"/>
        </w:rPr>
        <w:t xml:space="preserve">：</w:t>
      </w:r>
      <w:r/>
    </w:p>
    <w:p>
      <w:pPr>
        <w:ind w:firstLine="420"/>
        <w:jc w:val="left"/>
        <w:keepLines w:val="0"/>
        <w:pageBreakBefore w:val="0"/>
        <w:spacing w:line="360" w:lineRule="auto"/>
        <w:widowControl w:val="off"/>
        <w:rPr>
          <w:rFonts w:hint="eastAsia" w:ascii="宋体" w:hAnsi="宋体" w:eastAsia="宋体" w:cs="宋体"/>
          <w:b/>
          <w:bCs/>
          <w:color w:val="auto"/>
          <w:sz w:val="21"/>
          <w:szCs w:val="21"/>
          <w:highlight w:val="none"/>
          <w:lang w:eastAsia="zh-CN"/>
        </w:rPr>
      </w:pPr>
      <w:r/>
      <w:bookmarkStart w:id="11" w:name="_Toc142194272"/>
      <w:r/>
      <w:bookmarkStart w:id="12" w:name="_Toc40449968"/>
      <w:r>
        <w:rPr>
          <w:rFonts w:hint="eastAsia" w:ascii="宋体" w:hAnsi="宋体" w:eastAsia="宋体" w:cs="宋体"/>
          <w:b/>
          <w:bCs/>
          <w:color w:val="auto"/>
          <w:sz w:val="21"/>
          <w:szCs w:val="21"/>
          <w:highlight w:val="none"/>
          <w:lang w:eastAsia="zh-CN"/>
        </w:rPr>
        <w:t xml:space="preserve">（一）建筑现状及鉴定需求：</w:t>
      </w:r>
      <w:r/>
    </w:p>
    <w:p>
      <w:pPr>
        <w:ind w:firstLine="420"/>
        <w:jc w:val="left"/>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为了解房屋现状的结构安全性，并为后续办理产证提供依据，本次房屋安全鉴定项目计划对太仓市明德高级中学房屋进行安全鉴定工作并出具房屋安全鉴定报告。</w:t>
      </w:r>
      <w:r/>
    </w:p>
    <w:p>
      <w:pPr>
        <w:ind w:firstLine="420"/>
        <w:jc w:val="left"/>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具体清单如下:</w:t>
      </w:r>
      <w:r/>
    </w:p>
    <w:tbl>
      <w:tblPr>
        <w:tblStyle w:val="758"/>
        <w:tblW w:w="5545" w:type="pct"/>
        <w:jc w:val="center"/>
        <w:tblLayout w:type="autofit"/>
        <w:tblCellMar>
          <w:left w:w="108" w:type="dxa"/>
          <w:top w:w="0" w:type="dxa"/>
          <w:right w:w="108" w:type="dxa"/>
          <w:bottom w:w="0" w:type="dxa"/>
        </w:tblCellMar>
        <w:tblLook w:val="04A0" w:firstRow="1" w:lastRow="0" w:firstColumn="1" w:lastColumn="0" w:noHBand="0" w:noVBand="1"/>
      </w:tblPr>
      <w:tblGrid>
        <w:gridCol w:w="1139"/>
        <w:gridCol w:w="2769"/>
        <w:gridCol w:w="3036"/>
        <w:gridCol w:w="3544"/>
      </w:tblGrid>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val="false"/>
          </w:tcPr>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资产名称</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坐落位置</w:t>
            </w:r>
            <w:r/>
          </w:p>
        </w:tc>
        <w:tc>
          <w:tcPr>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房产面积实际产生的面积（㎡）</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68" w:line="208"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科技楼</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tcPr>
          <w:p>
            <w:pPr>
              <w:ind w:left="368"/>
              <w:jc w:val="center"/>
              <w:spacing w:before="103" w:line="181"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6539.93</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80" w:line="207"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教学楼</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tcPr>
          <w:p>
            <w:pPr>
              <w:ind w:left="368"/>
              <w:jc w:val="center"/>
              <w:spacing w:before="114" w:line="181"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7071.92</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79" w:line="192"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图书馆</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tcPr>
          <w:p>
            <w:pPr>
              <w:ind w:left="368"/>
              <w:jc w:val="center"/>
              <w:spacing w:before="95" w:line="180"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6170.42</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104"/>
              <w:jc w:val="center"/>
              <w:spacing w:before="100" w:line="199"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报告厅和艺术中心</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tcPr>
          <w:p>
            <w:pPr>
              <w:ind w:left="368"/>
              <w:jc w:val="center"/>
              <w:spacing w:before="125" w:line="180"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2751.70</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585"/>
              <w:jc w:val="center"/>
              <w:spacing w:before="72" w:line="197"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消防水池</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tcPr>
          <w:p>
            <w:pPr>
              <w:ind w:left="427"/>
              <w:jc w:val="center"/>
              <w:spacing w:before="96" w:line="179"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313.92</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825"/>
              <w:jc w:val="center"/>
              <w:spacing w:before="104" w:line="189"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食堂</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17" w:line="179"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6700.65</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225"/>
              <w:jc w:val="center"/>
              <w:spacing w:before="73" w:line="204"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学生宿舍楼北幢</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07" w:line="178"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5148.63</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104"/>
              <w:jc w:val="center"/>
              <w:spacing w:before="84" w:line="196"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学生宿舍楼中间幢</w:t>
            </w:r>
            <w:r/>
          </w:p>
        </w:tc>
        <w:tc>
          <w:tcPr>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08" w:line="177"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5148.63</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225"/>
              <w:jc w:val="center"/>
              <w:spacing w:before="85" w:line="195"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学生宿舍楼南幢</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10" w:line="176"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2515.38</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585"/>
              <w:jc w:val="center"/>
              <w:spacing w:before="95" w:line="187"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风雨操场</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10" w:line="176" w:lineRule="auto"/>
              <w:rPr>
                <w:rFonts w:hint="eastAsia" w:ascii="宋体" w:hAnsi="宋体" w:eastAsia="宋体" w:cs="宋体"/>
                <w:sz w:val="21"/>
                <w:szCs w:val="21"/>
                <w:lang w:val="en-US" w:eastAsia="zh-CN" w:bidi="ar-SA"/>
              </w:rPr>
            </w:pPr>
            <w:r>
              <w:rPr>
                <w:rFonts w:hint="eastAsia" w:ascii="宋体" w:hAnsi="宋体" w:eastAsia="宋体" w:cs="宋体"/>
                <w:spacing w:val="-4"/>
                <w:sz w:val="21"/>
                <w:szCs w:val="21"/>
              </w:rPr>
              <w:t xml:space="preserve">1485.31</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86" w:line="195" w:lineRule="auto"/>
              <w:rPr>
                <w:rFonts w:hint="eastAsia" w:ascii="宋体" w:hAnsi="宋体" w:eastAsia="宋体" w:cs="宋体"/>
                <w:sz w:val="21"/>
                <w:szCs w:val="21"/>
                <w:lang w:val="en-US" w:eastAsia="zh-CN" w:bidi="ar-SA"/>
              </w:rPr>
            </w:pPr>
            <w:r>
              <w:rPr>
                <w:rFonts w:hint="eastAsia" w:ascii="宋体" w:hAnsi="宋体" w:eastAsia="宋体" w:cs="宋体"/>
                <w:spacing w:val="4"/>
                <w:sz w:val="21"/>
                <w:szCs w:val="21"/>
              </w:rPr>
              <w:t xml:space="preserve">供气站</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27"/>
              <w:jc w:val="center"/>
              <w:spacing w:before="111" w:line="176" w:lineRule="auto"/>
              <w:rPr>
                <w:rFonts w:hint="eastAsia" w:ascii="宋体" w:hAnsi="宋体" w:eastAsia="宋体" w:cs="宋体"/>
                <w:sz w:val="21"/>
                <w:szCs w:val="21"/>
                <w:lang w:val="en-US" w:eastAsia="zh-CN" w:bidi="ar-SA"/>
              </w:rPr>
            </w:pPr>
            <w:r>
              <w:rPr>
                <w:rFonts w:hint="eastAsia" w:ascii="宋体" w:hAnsi="宋体" w:eastAsia="宋体" w:cs="宋体"/>
                <w:spacing w:val="-4"/>
                <w:sz w:val="21"/>
                <w:szCs w:val="21"/>
              </w:rPr>
              <w:t xml:space="preserve">172.09</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585"/>
              <w:jc w:val="center"/>
              <w:spacing w:before="86" w:line="19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室外看台</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27"/>
              <w:jc w:val="center"/>
              <w:spacing w:before="111" w:line="175"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679.77</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88" w:line="185"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行政楼</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368"/>
              <w:jc w:val="center"/>
              <w:spacing w:before="102" w:line="174"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3778.68</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92" w:line="197" w:lineRule="auto"/>
              <w:rPr>
                <w:rFonts w:hint="eastAsia" w:ascii="宋体" w:hAnsi="宋体" w:eastAsia="宋体" w:cs="宋体"/>
                <w:sz w:val="21"/>
                <w:szCs w:val="21"/>
                <w:lang w:val="en-US" w:eastAsia="zh-CN" w:bidi="ar-SA"/>
              </w:rPr>
            </w:pPr>
            <w:r>
              <w:rPr>
                <w:rFonts w:hint="eastAsia" w:ascii="宋体" w:hAnsi="宋体" w:eastAsia="宋体" w:cs="宋体"/>
                <w:spacing w:val="7"/>
                <w:sz w:val="21"/>
                <w:szCs w:val="21"/>
              </w:rPr>
              <w:t xml:space="preserve">配电间</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88"/>
              <w:jc w:val="center"/>
              <w:spacing w:before="124" w:line="173"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91.50</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94" w:line="181"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北门卫</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88"/>
              <w:jc w:val="center"/>
              <w:spacing w:before="105" w:line="173"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32.00</w:t>
            </w:r>
            <w:r/>
          </w:p>
        </w:tc>
      </w:tr>
      <w:tr>
        <w:trPr>
          <w:jc w:val="center"/>
          <w:trHeight w:val="241"/>
        </w:trPr>
        <w:tc>
          <w:tcPr>
            <w:tcBorders>
              <w:top w:val="single" w:color="auto" w:sz="4" w:space="0"/>
              <w:left w:val="single" w:color="auto" w:sz="4" w:space="0"/>
              <w:bottom w:val="single" w:color="auto" w:sz="4" w:space="0"/>
              <w:right w:val="single" w:color="auto" w:sz="4" w:space="0"/>
            </w:tcBorders>
            <w:tcW w:w="543" w:type="pct"/>
            <w:vAlign w:val="bottom"/>
            <w:textDirection w:val="lrTb"/>
            <w:noWrap/>
          </w:tcPr>
          <w:p>
            <w:pPr>
              <w:jc w:val="cente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20" w:type="pct"/>
            <w:vAlign w:val="bottom"/>
            <w:textDirection w:val="lrTb"/>
            <w:noWrap w:val="false"/>
          </w:tcPr>
          <w:p>
            <w:pPr>
              <w:ind w:left="704"/>
              <w:jc w:val="center"/>
              <w:spacing w:before="93" w:line="197"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南门卫</w:t>
            </w:r>
            <w:r/>
          </w:p>
        </w:tc>
        <w:tc>
          <w:tcPr>
            <w:shd w:val="clear" w:color="auto" w:fill="auto"/>
            <w:tcBorders>
              <w:top w:val="single" w:color="auto" w:sz="4" w:space="0"/>
              <w:left w:val="single" w:color="auto" w:sz="4" w:space="0"/>
              <w:bottom w:val="single" w:color="auto" w:sz="4" w:space="0"/>
              <w:right w:val="single" w:color="auto" w:sz="4" w:space="0"/>
            </w:tcBorders>
            <w:tcW w:w="1447" w:type="pct"/>
            <w:vAlign w:val="bottom"/>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太仓市东仓南路128号</w:t>
            </w:r>
            <w:r/>
          </w:p>
        </w:tc>
        <w:tc>
          <w:tcPr>
            <w:shd w:val="clear" w:color="auto" w:fill="auto"/>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88"/>
              <w:jc w:val="center"/>
              <w:spacing w:before="125" w:line="173"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32.00</w:t>
            </w:r>
            <w:r/>
          </w:p>
        </w:tc>
      </w:tr>
      <w:tr>
        <w:trPr>
          <w:jc w:val="center"/>
          <w:trHeight w:val="241"/>
        </w:trPr>
        <w:tc>
          <w:tcPr>
            <w:gridSpan w:val="3"/>
            <w:tcBorders>
              <w:top w:val="single" w:color="auto" w:sz="4" w:space="0"/>
              <w:left w:val="single" w:color="auto" w:sz="4" w:space="0"/>
              <w:bottom w:val="single" w:color="auto" w:sz="4" w:space="0"/>
              <w:right w:val="single" w:color="auto" w:sz="4" w:space="0"/>
            </w:tcBorders>
            <w:tcW w:w="3310" w:type="pct"/>
            <w:vAlign w:val="bottom"/>
            <w:textDirection w:val="lrTb"/>
            <w:noWrap/>
          </w:tcPr>
          <w:p>
            <w:pPr>
              <w:ind w:left="488"/>
              <w:jc w:val="center"/>
              <w:spacing w:before="125" w:line="173"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合计</w:t>
            </w:r>
            <w:r/>
          </w:p>
        </w:tc>
        <w:tc>
          <w:tcPr>
            <w:tcBorders>
              <w:top w:val="single" w:color="auto" w:sz="4" w:space="0"/>
              <w:left w:val="single" w:color="auto" w:sz="4" w:space="0"/>
              <w:bottom w:val="single" w:color="auto" w:sz="4" w:space="0"/>
              <w:right w:val="single" w:color="auto" w:sz="4" w:space="0"/>
            </w:tcBorders>
            <w:tcW w:w="1689" w:type="pct"/>
            <w:vAlign w:val="bottom"/>
            <w:textDirection w:val="lrTb"/>
            <w:noWrap w:val="false"/>
          </w:tcPr>
          <w:p>
            <w:pPr>
              <w:ind w:left="488"/>
              <w:jc w:val="center"/>
              <w:spacing w:before="125" w:line="173" w:lineRule="auto"/>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rPr>
              <w:t xml:space="preserve">48632.53</w:t>
            </w:r>
            <w:r/>
          </w:p>
        </w:tc>
      </w:tr>
    </w:tbl>
    <w:p>
      <w:pPr>
        <w:ind w:firstLine="420"/>
        <w:jc w:val="left"/>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2"/>
        </w:numPr>
        <w:contextualSpacing/>
        <w:ind w:left="363" w:hanging="363"/>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上表所列楼宇为计划鉴定楼宇，实际鉴定楼宇以最终双方签订合同内所列为准。</w:t>
      </w:r>
      <w:r/>
    </w:p>
    <w:p>
      <w:pPr>
        <w:numPr>
          <w:ilvl w:val="0"/>
          <w:numId w:val="2"/>
        </w:numPr>
        <w:contextualSpacing/>
        <w:ind w:left="363" w:hanging="363"/>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上表所列房产面积为预估面积，最终结算金额按实际完成工作量，按实结算，面积以房屋测绘报告内面积为准，但总价不超中标价格。</w:t>
      </w:r>
      <w:r/>
    </w:p>
    <w:p>
      <w:pPr>
        <w:contextualSpacing/>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）检测鉴定依据：</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1、鉴定项目各子单体的建筑、结构设计图纸及其他相关技术资料等；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2、现行国家规范：</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《既有建筑鉴定与加固通用规范》GB 55021-2021</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《民用建筑可靠性鉴定标准》GB 50292-2015</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《建筑结构荷载规范》GB 50009-2012</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《建筑结构检测技术标准》GB/T 50344-2019</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《混凝土结构设计规范》GB 50010-2010（2015 年版）</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《混凝土结构工程施工质量验收规范》GB 50204-2015</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《混凝土中钢筋检测技术标准》JGJ/T 152-2019</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《回弹法检测混凝土抗压强度技术规程》JGJ/T 23-2011</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其他国家及江苏省现行相关技术标准、规范、图集等。</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注：以上标准如有取消或有修改，均按现行最新版本执行。</w:t>
      </w:r>
      <w:r/>
    </w:p>
    <w:p>
      <w:pPr>
        <w:numPr>
          <w:ilvl w:val="0"/>
          <w:numId w:val="0"/>
        </w:num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委托方提供的设计图纸。</w:t>
      </w:r>
      <w:r/>
    </w:p>
    <w:p>
      <w:pPr>
        <w:ind w:firstLine="422"/>
        <w:jc w:val="both"/>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w:t>
      </w:r>
      <w:r>
        <w:rPr>
          <w:rFonts w:hint="eastAsia" w:hAnsi="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rPr>
        <w:t xml:space="preserve">）</w:t>
      </w:r>
      <w:r>
        <w:rPr>
          <w:rFonts w:hint="eastAsia" w:hAnsi="宋体" w:cs="Times New Roman"/>
          <w:b/>
          <w:bCs/>
          <w:color w:val="auto"/>
          <w:sz w:val="21"/>
          <w:szCs w:val="21"/>
          <w:highlight w:val="none"/>
          <w:lang w:val="en-US" w:eastAsia="zh-CN"/>
        </w:rPr>
        <w:t xml:space="preserve">鉴定内容</w:t>
      </w:r>
      <w:r>
        <w:rPr>
          <w:rFonts w:hint="eastAsia" w:ascii="宋体" w:hAnsi="宋体" w:eastAsia="宋体" w:cs="Times New Roman"/>
          <w:b/>
          <w:bCs/>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1、资料核查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对委托方提供的建筑结构设计图纸等相关施工技术资料进行核查。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2、现场情况调查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建筑平立面布置调查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现场对该建筑物的平立面布置、轴线间距、结构受力体系、构件布置等进行核查。对房屋建筑结构图纸进行核查，发现建筑现状与原图纸不符，则对既有建筑进行补充调查。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裂缝检查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该建筑物的柱、墙体等与地面连接处的位置进行检查，检查柱、墙体等与地面连接处是否存在明显的沉降裂缝、变形和位移现象；检查上部结构各构件是否工作正常，是否存在因沉降产生的裂缝、倾斜及变形等现象。</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构件外观质量缺陷与损伤检查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该建筑物的柱、墙、梁、板等承重构件的外观质量缺陷与损伤进行检查，检查柱、墙、梁、板等构件是否存在结构性受力裂缝，检查混凝土构件保护层是否有脱落、露筋，墙体是否有受力粉刷层剥落、风化等外观质量缺陷与其他损伤情况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渗漏水检查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现场对建筑物的墙体、楼面、屋面等渗漏水情况进行全面检查。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实际使用荷载调查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现场对该建筑现状使用荷载进行调查，检查荷载类型主要包括楼面附加恒荷载；检查荷载的主要部位包括：隔墙（包括装饰层）荷载、楼面装修荷载、屋顶设施荷载等。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承重构件拆改检查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现场全面建筑物主体结构是否存在承重构件拆改现象。</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3、地基基础检查</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通过现场地基不均匀沉降在上部结构中的反应的检查结果对地基基础的情况进行判定。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4、上部结构构件参数检测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截面尺寸检测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4.1.1检测范围：用于检测现浇构件位置与尺寸偏差检测。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4.1.2检测方法：《混凝土结构工程施工质量验收规范》GB50204-2015 规定的方法进行检测。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4.1.3抽样数量依据《建筑结构检测技术标准》（GB/T 50344-2019）随机抽取。</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钢筋配置检测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4.2.1检测范围：用于检测现浇构件的钢筋配置情况。</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4.2.2检测方法：采用钢筋位置测定仪结合局部破损的方法，抽样检测复核柱、梁主要受力纵筋配置、箍筋配置情况。</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4.2.3抽样数量依据《建筑结构检测技术标准》（GB/T 50344-2019）随机抽取。</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混凝土强度检测（回弹法）</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4.3.1检测范围：用于混凝土抗压强度检测。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4.3.2检测方法：按《回弹法检测混凝土抗压强度技术规程》JGJ/T 23-2011 规定的方法执行。</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4.3.3抽样数量依据《建筑结构检测技术标准》（GB/T 50344-2019）随机抽取。</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碳化深度检测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4.4.1检测范围：用于混凝土碳化深度检测。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4.4.2检测方法：按《回弹法检测混凝土抗压强度技术规程》JGJ/T 23-2011 规定的方法执行。</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4.4.3抽样数量依据《建筑结构检测技术标准》（GB/T 50344-2019）随机抽取。</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4.4.4建筑物整体倾斜检测</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现场对建筑物的阳角进行垂直度检测，判定其倾斜值是否超出规范要求的限值。</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4.5安全性分析及评定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根据现场实测数据的结果，采用计算软件 PKPM 对建筑物的主体结构进行安全性计算分析，并依据《民用建筑可靠性鉴定标准》（GB 50292-2015）对建筑物的安全性等级进行评定。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鉴定对象安全性鉴定评级应按构件、子单元、鉴定单元三个层次逐级评定。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第一层次构件的鉴定评级：</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混凝土结构构件的安全性评级，应按承载能力、构造、不适合承载的位移或变形、裂缝或其它损伤四个检查项目及钢结构构件分别评定，并取其中最低一级作为该构件安全性等级。</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第二层次子单元的鉴定评级：</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应按地基基础、上部承重结构划分为两个子单元，围护系统的承重部分并入上部承重结构中去。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地基基础子单元的安全性应按上部承重结构反映的检查结果进行评定；上部承重结构子单元的安全性鉴定评级应根据承载功能等级、结构整体性等级以及结构侧向位移等级的评定结果进行确认，取其较低一级作为上部承重结构子单元的安全性等级。</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第三层次鉴定单元的鉴定评级：</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应根据地基基础和上部承重结构的评定结果按其中较低等级确定。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综合评定鉴定对象安全性等级：根据现场检查、检测情况及计算结果，按照《民用建筑可靠性鉴定标准》（GB50292-2015）对鉴定对象进行综合分析、评定。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4.6检测数量及主要成果</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4.6.1在本次检测各检测项目抽样数量均按《建筑结构检测技术标准》GB/T50344-2019、《民用建筑可靠性鉴定标准》GB 50292-2015及其他检测技术标准进行抽样。</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4.6.2主要成果</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（1）安全性等级评定</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根据现场检查、检测及结构验算结果，依据《民用建筑可靠性鉴定标准》给出各单体工程主体结构安全性等级鉴定结果。</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（2）BIM 建模</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依据苏州市住房和城乡建设局发布的《苏住建房﹝2022﹞9号》文件规定对房屋现状结构进行BIM建模。。</w:t>
      </w:r>
      <w:r/>
    </w:p>
    <w:p>
      <w:pPr>
        <w:ind w:firstLine="420"/>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）检测数量及主要成果要求：</w:t>
      </w:r>
      <w:r/>
    </w:p>
    <w:p>
      <w:pPr>
        <w:ind w:firstLine="42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1、检测数量</w:t>
      </w:r>
      <w:r/>
    </w:p>
    <w:p>
      <w:pPr>
        <w:ind w:firstLine="42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本次检测各检测项目抽样数量均按《建筑结构检测技术标准》GB/T50344-2019、《民用建筑可靠性鉴定标准》GB 50292-2015及其他检测技术标准进行抽样。</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2、主要成果要求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提供所有房屋安全性鉴定报告，一个单体一份报告（纸质文本一式二份，电子文件一套）。</w:t>
      </w:r>
      <w:r/>
    </w:p>
    <w:p>
      <w:pPr>
        <w:ind w:firstLine="42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注：安全性等级评定报告必须符合国家的有关规定要求，</w:t>
      </w:r>
      <w:r>
        <w:rPr>
          <w:rFonts w:hint="eastAsia" w:ascii="宋体" w:hAnsi="宋体" w:eastAsia="宋体" w:cs="宋体"/>
          <w:color w:val="auto"/>
          <w:sz w:val="21"/>
          <w:szCs w:val="21"/>
          <w:highlight w:val="none"/>
          <w:lang w:eastAsia="zh-CN" w:bidi="ar"/>
        </w:rPr>
        <w:t xml:space="preserve">安全性鉴定报告上传苏州市房屋安全鉴定管理信息系统，审核通过后出具安全性鉴定报告，</w:t>
      </w:r>
      <w:r>
        <w:rPr>
          <w:rFonts w:hint="eastAsia" w:ascii="宋体" w:hAnsi="宋体" w:eastAsia="宋体" w:cs="宋体"/>
          <w:color w:val="auto"/>
          <w:sz w:val="21"/>
          <w:szCs w:val="21"/>
          <w:highlight w:val="none"/>
        </w:rPr>
        <w:t xml:space="preserve">鉴定报告应由有相应执业资格的注册结构工程师签字盖章。</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）人员及设备要求</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1、项目负责人：不少于1人，有较强的专业能力，负责项目整体进度的把控，与采购方日常的对接及沟通，熟悉项目相关法律法规，有一定的管理经验。</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2、项目技术负责人：不少于1人，主要</w:t>
      </w:r>
      <w:r>
        <w:rPr>
          <w:rFonts w:hint="eastAsia" w:ascii="宋体" w:hAnsi="宋体" w:eastAsia="宋体" w:cs="宋体"/>
          <w:bCs/>
          <w:color w:val="auto"/>
          <w:sz w:val="21"/>
          <w:szCs w:val="21"/>
          <w:highlight w:val="none"/>
        </w:rPr>
        <w:t xml:space="preserve">负责项目进度、质量、安全方面管理，需熟悉本项目相关的法律法规，有相关工作经验，专业能力强。</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3、主要检测人员：供应商须为本项目至少配置4名主要检测人员（不包含项目负责人、技术负责人），人员应具有一定的工作经验，通过专门培训，专业能力突出。</w:t>
      </w:r>
      <w:r/>
    </w:p>
    <w:p>
      <w:pPr>
        <w:ind w:firstLine="42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lang w:val="zh-CN"/>
        </w:rPr>
        <w:t xml:space="preserve">在项目实施过程中要确保服务团队的稳定，且变动前需提交采购</w:t>
      </w:r>
      <w:r>
        <w:rPr>
          <w:rFonts w:hint="eastAsia" w:ascii="宋体" w:hAnsi="宋体" w:eastAsia="宋体" w:cs="宋体"/>
          <w:bCs/>
          <w:color w:val="auto"/>
          <w:sz w:val="21"/>
          <w:szCs w:val="21"/>
          <w:highlight w:val="none"/>
        </w:rPr>
        <w:t xml:space="preserve">单位</w:t>
      </w:r>
      <w:r>
        <w:rPr>
          <w:rFonts w:hint="eastAsia" w:ascii="宋体" w:hAnsi="宋体" w:eastAsia="宋体" w:cs="宋体"/>
          <w:bCs/>
          <w:color w:val="auto"/>
          <w:sz w:val="21"/>
          <w:szCs w:val="21"/>
          <w:highlight w:val="none"/>
          <w:lang w:val="zh-CN"/>
        </w:rPr>
        <w:t xml:space="preserve">书面审核同意。在本项目实施中采购</w:t>
      </w:r>
      <w:r>
        <w:rPr>
          <w:rFonts w:hint="eastAsia" w:ascii="宋体" w:hAnsi="宋体" w:eastAsia="宋体" w:cs="宋体"/>
          <w:bCs/>
          <w:color w:val="auto"/>
          <w:sz w:val="21"/>
          <w:szCs w:val="21"/>
          <w:highlight w:val="none"/>
        </w:rPr>
        <w:t xml:space="preserve">单位</w:t>
      </w:r>
      <w:r>
        <w:rPr>
          <w:rFonts w:hint="eastAsia" w:ascii="宋体" w:hAnsi="宋体" w:eastAsia="宋体" w:cs="宋体"/>
          <w:bCs/>
          <w:color w:val="auto"/>
          <w:sz w:val="21"/>
          <w:szCs w:val="21"/>
          <w:highlight w:val="none"/>
          <w:lang w:val="zh-CN"/>
        </w:rPr>
        <w:t xml:space="preserve">可对各个环节进行不定期的检查，并提出整改意见，</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lang w:val="zh-CN"/>
        </w:rPr>
        <w:t xml:space="preserve">必须采取相应整改措施。</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5、检测用相关设备由</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根据本项目要求自行配备。</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注：以上人员数量要求为实质性条款，必须满足。投标文件中提供相关人员清单及投标单位为以上人员缴纳的社保证明材料，否者为无效标。</w:t>
      </w:r>
      <w:r/>
    </w:p>
    <w:p>
      <w:pPr>
        <w:ind w:firstLine="422"/>
        <w:jc w:val="both"/>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w:t>
      </w:r>
      <w:r>
        <w:rPr>
          <w:rFonts w:hint="eastAsia"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w:t>
      </w:r>
      <w:r>
        <w:rPr>
          <w:rFonts w:hint="eastAsia" w:hAnsi="宋体" w:cs="宋体"/>
          <w:b/>
          <w:color w:val="auto"/>
          <w:sz w:val="21"/>
          <w:szCs w:val="21"/>
          <w:highlight w:val="none"/>
          <w:lang w:val="en-US" w:eastAsia="zh-CN"/>
        </w:rPr>
        <w:t xml:space="preserve">服务保障方案</w:t>
      </w:r>
      <w:r/>
    </w:p>
    <w:p>
      <w:pPr>
        <w:ind w:firstLine="422"/>
        <w:jc w:val="both"/>
        <w:spacing w:line="360" w:lineRule="auto"/>
        <w:widowControl w:val="off"/>
        <w:rPr>
          <w:rFonts w:hint="eastAsia" w:hAnsi="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1、项目实施方案</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为了保证</w:t>
      </w:r>
      <w:r>
        <w:rPr>
          <w:rFonts w:hint="eastAsia" w:hAnsi="宋体" w:cs="宋体"/>
          <w:bCs/>
          <w:color w:val="auto"/>
          <w:sz w:val="21"/>
          <w:szCs w:val="21"/>
          <w:highlight w:val="none"/>
          <w:lang w:val="en-US" w:eastAsia="zh-CN"/>
        </w:rPr>
        <w:t xml:space="preserve">项目顺利实施</w:t>
      </w:r>
      <w:r>
        <w:rPr>
          <w:rFonts w:hint="eastAsia" w:ascii="宋体" w:hAnsi="宋体" w:eastAsia="宋体" w:cs="宋体"/>
          <w:bCs/>
          <w:color w:val="auto"/>
          <w:sz w:val="21"/>
          <w:szCs w:val="21"/>
          <w:highlight w:val="none"/>
        </w:rPr>
        <w:t xml:space="preserve">，</w:t>
      </w:r>
      <w:r>
        <w:rPr>
          <w:rFonts w:hint="eastAsia" w:hAnsi="宋体" w:cs="宋体"/>
          <w:bCs/>
          <w:color w:val="auto"/>
          <w:sz w:val="21"/>
          <w:szCs w:val="21"/>
          <w:highlight w:val="none"/>
          <w:lang w:val="en-US" w:eastAsia="zh-CN"/>
        </w:rPr>
        <w:t xml:space="preserve">投标单位</w:t>
      </w:r>
      <w:r>
        <w:rPr>
          <w:rFonts w:hint="eastAsia" w:ascii="宋体" w:hAnsi="宋体" w:eastAsia="宋体" w:cs="宋体"/>
          <w:bCs/>
          <w:color w:val="auto"/>
          <w:sz w:val="21"/>
          <w:szCs w:val="21"/>
          <w:highlight w:val="none"/>
        </w:rPr>
        <w:t xml:space="preserve">对该项目的检测工作</w:t>
      </w:r>
      <w:r>
        <w:rPr>
          <w:rFonts w:hint="eastAsia" w:hAnsi="宋体" w:cs="宋体"/>
          <w:bCs/>
          <w:color w:val="auto"/>
          <w:sz w:val="21"/>
          <w:szCs w:val="21"/>
          <w:highlight w:val="none"/>
          <w:lang w:val="en-US" w:eastAsia="zh-CN"/>
        </w:rPr>
        <w:t xml:space="preserve">制定一个整体实施方案</w:t>
      </w:r>
      <w:r>
        <w:rPr>
          <w:rFonts w:hint="eastAsia" w:ascii="宋体" w:hAnsi="宋体" w:eastAsia="宋体" w:cs="宋体"/>
          <w:bCs/>
          <w:color w:val="auto"/>
          <w:sz w:val="21"/>
          <w:szCs w:val="21"/>
          <w:highlight w:val="none"/>
        </w:rPr>
        <w:t xml:space="preserve">，</w:t>
      </w:r>
      <w:r>
        <w:rPr>
          <w:rFonts w:hint="eastAsia" w:hAnsi="宋体" w:cs="宋体"/>
          <w:bCs/>
          <w:color w:val="auto"/>
          <w:sz w:val="21"/>
          <w:szCs w:val="21"/>
          <w:highlight w:val="none"/>
          <w:lang w:val="en-US" w:eastAsia="zh-CN"/>
        </w:rPr>
        <w:t xml:space="preserve">对整体服务实施方案进行</w:t>
      </w:r>
      <w:r>
        <w:rPr>
          <w:rFonts w:hint="eastAsia" w:ascii="宋体" w:hAnsi="宋体" w:eastAsia="宋体" w:cs="宋体"/>
          <w:bCs/>
          <w:color w:val="auto"/>
          <w:sz w:val="21"/>
          <w:szCs w:val="21"/>
          <w:highlight w:val="none"/>
        </w:rPr>
        <w:t xml:space="preserve">合理化安排。</w:t>
      </w:r>
      <w:r/>
    </w:p>
    <w:p>
      <w:pPr>
        <w:numPr>
          <w:ilvl w:val="0"/>
          <w:numId w:val="0"/>
        </w:numPr>
        <w:ind w:firstLine="420"/>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bidi="ar-SA"/>
        </w:rPr>
        <w:t xml:space="preserve">1.1</w:t>
      </w:r>
      <w:r>
        <w:rPr>
          <w:rFonts w:hint="eastAsia" w:ascii="宋体" w:hAnsi="宋体" w:eastAsia="宋体" w:cs="宋体"/>
          <w:bCs/>
          <w:color w:val="auto"/>
          <w:sz w:val="21"/>
          <w:szCs w:val="21"/>
          <w:highlight w:val="none"/>
          <w:lang w:val="en-US" w:eastAsia="zh-CN"/>
        </w:rPr>
        <w:t xml:space="preserve">资料核查</w:t>
      </w:r>
      <w:r>
        <w:rPr>
          <w:rFonts w:hint="eastAsia" w:hAnsi="宋体" w:cs="宋体"/>
          <w:bCs/>
          <w:color w:val="auto"/>
          <w:sz w:val="21"/>
          <w:szCs w:val="21"/>
          <w:highlight w:val="none"/>
          <w:lang w:val="en-US" w:eastAsia="zh-CN"/>
        </w:rPr>
        <w:t xml:space="preserve">。认真查阅采购人提供的图纸等基础信息，对原始资料进行核查。</w:t>
      </w:r>
      <w:r/>
    </w:p>
    <w:p>
      <w:pPr>
        <w:numPr>
          <w:ilvl w:val="0"/>
          <w:numId w:val="0"/>
        </w:numPr>
        <w:ind w:firstLine="420"/>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US" w:eastAsia="zh-CN"/>
        </w:rPr>
        <w:t xml:space="preserve">现场情况调查</w:t>
      </w:r>
      <w:r>
        <w:rPr>
          <w:rFonts w:hint="eastAsia" w:hAnsi="宋体" w:cs="宋体"/>
          <w:bCs/>
          <w:color w:val="auto"/>
          <w:sz w:val="21"/>
          <w:szCs w:val="21"/>
          <w:highlight w:val="none"/>
          <w:lang w:val="en-US" w:eastAsia="zh-CN"/>
        </w:rPr>
        <w:t xml:space="preserve">。结合采购人提供的基础材料，对现场周边环境及房屋使用状态进行调查，合理配备专业工具。</w:t>
      </w:r>
      <w:r/>
    </w:p>
    <w:p>
      <w:pPr>
        <w:numPr>
          <w:ilvl w:val="0"/>
          <w:numId w:val="0"/>
        </w:numPr>
        <w:ind w:firstLine="420"/>
        <w:jc w:val="both"/>
        <w:spacing w:line="360" w:lineRule="auto"/>
        <w:widowControl w:val="off"/>
        <w:rPr>
          <w:rFonts w:hint="eastAsia"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lang w:val="en-US" w:eastAsia="zh-CN"/>
        </w:rPr>
        <w:t xml:space="preserve">地基基础检查</w:t>
      </w:r>
      <w:r>
        <w:rPr>
          <w:rFonts w:hint="eastAsia" w:hAnsi="宋体" w:cs="宋体"/>
          <w:bCs/>
          <w:color w:val="auto"/>
          <w:sz w:val="21"/>
          <w:szCs w:val="21"/>
          <w:highlight w:val="none"/>
          <w:lang w:val="en-US" w:eastAsia="zh-CN"/>
        </w:rPr>
        <w:t xml:space="preserve">。结合采购人提供的基础材料，对地基基础状态进行检查，合理配备专业工具防止检测作业引发次生灾害。</w:t>
      </w:r>
      <w:r/>
    </w:p>
    <w:p>
      <w:pPr>
        <w:numPr>
          <w:ilvl w:val="0"/>
          <w:numId w:val="0"/>
        </w:numPr>
        <w:ind w:firstLine="420"/>
        <w:jc w:val="both"/>
        <w:spacing w:line="360" w:lineRule="auto"/>
        <w:widowControl w:val="off"/>
        <w:rPr>
          <w:rFonts w:hint="eastAsia"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lang w:val="en-US" w:eastAsia="zh-CN"/>
        </w:rPr>
        <w:t xml:space="preserve">上部结构构件参数检测</w:t>
      </w:r>
      <w:r>
        <w:rPr>
          <w:rFonts w:hint="eastAsia" w:hAnsi="宋体" w:cs="宋体"/>
          <w:bCs/>
          <w:color w:val="auto"/>
          <w:sz w:val="21"/>
          <w:szCs w:val="21"/>
          <w:highlight w:val="none"/>
          <w:lang w:val="en-US" w:eastAsia="zh-CN"/>
        </w:rPr>
        <w:t xml:space="preserve">。结合采购人提供的基础材料，对上不结构构件进行检测，合理配备专业工具防止检测作业引发次生灾害。</w:t>
      </w:r>
      <w:r/>
    </w:p>
    <w:p>
      <w:pPr>
        <w:numPr>
          <w:ilvl w:val="0"/>
          <w:numId w:val="0"/>
        </w:numPr>
        <w:ind w:firstLine="420"/>
        <w:jc w:val="both"/>
        <w:spacing w:line="360" w:lineRule="auto"/>
        <w:widowControl w:val="off"/>
        <w:rPr>
          <w:rFonts w:hint="eastAsia"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建筑物整体倾斜检测</w:t>
      </w:r>
      <w:r>
        <w:rPr>
          <w:rFonts w:hint="eastAsia" w:hAnsi="宋体" w:cs="宋体"/>
          <w:bCs/>
          <w:color w:val="auto"/>
          <w:sz w:val="21"/>
          <w:szCs w:val="21"/>
          <w:highlight w:val="none"/>
          <w:lang w:val="en-US" w:eastAsia="zh-CN"/>
        </w:rPr>
        <w:t xml:space="preserve">。结合采购人提供的基础材料，对</w:t>
      </w:r>
      <w:r>
        <w:rPr>
          <w:rFonts w:hint="eastAsia" w:ascii="宋体" w:hAnsi="宋体" w:eastAsia="宋体" w:cs="宋体"/>
          <w:bCs/>
          <w:color w:val="auto"/>
          <w:sz w:val="21"/>
          <w:szCs w:val="21"/>
          <w:highlight w:val="none"/>
          <w:lang w:val="en-US" w:eastAsia="zh-CN"/>
        </w:rPr>
        <w:t xml:space="preserve">建筑物整体倾斜</w:t>
      </w:r>
      <w:r>
        <w:rPr>
          <w:rFonts w:hint="eastAsia" w:hAnsi="宋体" w:cs="宋体"/>
          <w:bCs/>
          <w:color w:val="auto"/>
          <w:sz w:val="21"/>
          <w:szCs w:val="21"/>
          <w:highlight w:val="none"/>
          <w:lang w:val="en-US" w:eastAsia="zh-CN"/>
        </w:rPr>
        <w:t xml:space="preserve">状态进行检测，合理配备专业工具防止检测作业引发次生灾害。</w:t>
      </w:r>
      <w:r/>
    </w:p>
    <w:p>
      <w:pPr>
        <w:numPr>
          <w:ilvl w:val="0"/>
          <w:numId w:val="0"/>
        </w:numPr>
        <w:ind w:firstLine="420"/>
        <w:jc w:val="both"/>
        <w:spacing w:line="360" w:lineRule="auto"/>
        <w:widowControl w:val="off"/>
        <w:rPr>
          <w:rFonts w:hint="eastAsia"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1.6</w:t>
      </w:r>
      <w:r>
        <w:rPr>
          <w:rFonts w:hint="eastAsia" w:ascii="宋体" w:hAnsi="宋体" w:eastAsia="宋体" w:cs="宋体"/>
          <w:bCs/>
          <w:color w:val="auto"/>
          <w:sz w:val="21"/>
          <w:szCs w:val="21"/>
          <w:highlight w:val="none"/>
          <w:lang w:val="en-US" w:eastAsia="zh-CN"/>
        </w:rPr>
        <w:t xml:space="preserve">安全性分析及评定</w:t>
      </w:r>
      <w:r>
        <w:rPr>
          <w:rFonts w:hint="eastAsia"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要求所有现场的检测人员，牢固树立目标意识，围绕工作目标开展工作，务必强调检测工作的计划性、预控性和前瞻性。</w:t>
      </w:r>
      <w:r/>
    </w:p>
    <w:p>
      <w:pPr>
        <w:ind w:firstLine="422"/>
        <w:jc w:val="both"/>
        <w:spacing w:line="360" w:lineRule="auto"/>
        <w:widowControl w:val="off"/>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工作进度</w:t>
      </w:r>
      <w:r>
        <w:rPr>
          <w:rFonts w:hint="eastAsia" w:hAnsi="宋体" w:cs="宋体"/>
          <w:b/>
          <w:color w:val="auto"/>
          <w:sz w:val="21"/>
          <w:szCs w:val="21"/>
          <w:highlight w:val="none"/>
          <w:lang w:eastAsia="zh-CN"/>
        </w:rPr>
        <w:t xml:space="preserve">保障措施</w:t>
      </w:r>
      <w:r>
        <w:rPr>
          <w:rFonts w:hint="eastAsia" w:ascii="宋体" w:hAnsi="宋体" w:eastAsia="宋体" w:cs="宋体"/>
          <w:b/>
          <w:color w:val="auto"/>
          <w:sz w:val="21"/>
          <w:szCs w:val="21"/>
          <w:highlight w:val="none"/>
        </w:rPr>
        <w:t xml:space="preserve">及质量</w:t>
      </w:r>
      <w:r>
        <w:rPr>
          <w:rFonts w:hint="eastAsia" w:hAnsi="宋体" w:cs="宋体"/>
          <w:b/>
          <w:color w:val="auto"/>
          <w:sz w:val="21"/>
          <w:szCs w:val="21"/>
          <w:highlight w:val="none"/>
          <w:lang w:eastAsia="zh-CN"/>
        </w:rPr>
        <w:t xml:space="preserve">保障措施</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为了保证检测鉴定工作质量，</w:t>
      </w:r>
      <w:r>
        <w:rPr>
          <w:rFonts w:hint="eastAsia" w:hAnsi="宋体" w:cs="宋体"/>
          <w:bCs/>
          <w:color w:val="auto"/>
          <w:sz w:val="21"/>
          <w:szCs w:val="21"/>
          <w:highlight w:val="none"/>
          <w:lang w:val="en-US" w:eastAsia="zh-CN"/>
        </w:rPr>
        <w:t xml:space="preserve">投标单位</w:t>
      </w:r>
      <w:r>
        <w:rPr>
          <w:rFonts w:hint="eastAsia" w:ascii="宋体" w:hAnsi="宋体" w:eastAsia="宋体" w:cs="宋体"/>
          <w:bCs/>
          <w:color w:val="auto"/>
          <w:sz w:val="21"/>
          <w:szCs w:val="21"/>
          <w:highlight w:val="none"/>
        </w:rPr>
        <w:t xml:space="preserve">对该项目的检测工作，做到精心组织、合理化安排，将采取必要的质量</w:t>
      </w:r>
      <w:r>
        <w:rPr>
          <w:rFonts w:hint="eastAsia" w:hAnsi="宋体" w:cs="宋体"/>
          <w:bCs/>
          <w:color w:val="auto"/>
          <w:sz w:val="21"/>
          <w:szCs w:val="21"/>
          <w:highlight w:val="none"/>
          <w:lang w:eastAsia="zh-CN"/>
        </w:rPr>
        <w:t xml:space="preserve">保障措施</w:t>
      </w:r>
      <w:r>
        <w:rPr>
          <w:rFonts w:hint="eastAsia" w:ascii="宋体" w:hAnsi="宋体" w:eastAsia="宋体" w:cs="宋体"/>
          <w:bCs/>
          <w:color w:val="auto"/>
          <w:sz w:val="21"/>
          <w:szCs w:val="21"/>
          <w:highlight w:val="none"/>
        </w:rPr>
        <w:t xml:space="preserve">。</w:t>
      </w:r>
      <w:r/>
    </w:p>
    <w:p>
      <w:pPr>
        <w:ind w:firstLine="420"/>
        <w:jc w:val="both"/>
        <w:spacing w:line="360" w:lineRule="auto"/>
        <w:widowControl w:val="off"/>
        <w:rPr>
          <w:rFonts w:hint="default" w:hAnsi="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2.1项目进度计划。制定项目进度表，投标单位</w:t>
      </w:r>
      <w:r>
        <w:rPr>
          <w:rFonts w:hint="eastAsia" w:ascii="宋体" w:hAnsi="宋体" w:eastAsia="宋体" w:cs="宋体"/>
          <w:bCs/>
          <w:color w:val="auto"/>
          <w:sz w:val="21"/>
          <w:szCs w:val="21"/>
          <w:highlight w:val="none"/>
        </w:rPr>
        <w:t xml:space="preserve">严格按照</w:t>
      </w:r>
      <w:r>
        <w:rPr>
          <w:rFonts w:hint="eastAsia" w:hAnsi="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rPr>
        <w:t xml:space="preserve">的要求开展各项工作，指定项目负责人协调</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与</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及相关单位的关系，调动资源为此服务。</w:t>
      </w:r>
      <w:r/>
    </w:p>
    <w:p>
      <w:pPr>
        <w:ind w:firstLine="420"/>
        <w:jc w:val="both"/>
        <w:spacing w:line="360" w:lineRule="auto"/>
        <w:widowControl w:val="off"/>
        <w:rPr>
          <w:rFonts w:hint="default" w:hAnsi="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2.2进度保障措施。</w:t>
      </w:r>
      <w:r>
        <w:rPr>
          <w:rFonts w:hint="eastAsia" w:ascii="宋体" w:hAnsi="宋体" w:eastAsia="宋体" w:cs="宋体"/>
          <w:bCs/>
          <w:color w:val="auto"/>
          <w:sz w:val="21"/>
          <w:szCs w:val="21"/>
          <w:highlight w:val="none"/>
        </w:rPr>
        <w:t xml:space="preserve">实现服务承诺，及时完成各项服务。提高</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员工的工作效力，最大化的满足</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的要求；当发生不可预见事情时，及时与</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沟通，将损失降低到最小。</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val="en-US" w:eastAsia="zh-CN"/>
        </w:rPr>
        <w:t xml:space="preserve">2.3质量保障措施。</w:t>
      </w:r>
      <w:r>
        <w:rPr>
          <w:rFonts w:hint="eastAsia" w:ascii="宋体" w:hAnsi="宋体" w:eastAsia="宋体" w:cs="宋体"/>
          <w:bCs/>
          <w:color w:val="auto"/>
          <w:sz w:val="21"/>
          <w:szCs w:val="21"/>
          <w:highlight w:val="none"/>
        </w:rPr>
        <w:t xml:space="preserve">充分运用专业技术优势，对检测鉴定中如有发现存在质量隐患的提供处理建议，为</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提供技术咨询服务。选用先进的检测设备，执行现行科学、有效并为客户认可的检测方法，确保检测方法的科学性。使用经过计量检定且在检定有效期内仪器设备，保证检测数据的准确性。现场检测过程中对建筑结构和装修的破坏由</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负责修复。</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安全保障措施</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在现场工作中，</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遵守政府有关部门、业主及有关单位安全、保卫制度，并对检测人员的安全负责。在作业现场，</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将采取必要的安全措施。</w:t>
      </w:r>
      <w:r/>
    </w:p>
    <w:p>
      <w:pPr>
        <w:ind w:firstLine="420"/>
        <w:jc w:val="both"/>
        <w:spacing w:line="360" w:lineRule="auto"/>
        <w:widowControl w:val="off"/>
        <w:rPr>
          <w:rFonts w:hint="eastAsia" w:ascii="宋体" w:hAnsi="宋体" w:eastAsia="宋体" w:cs="宋体"/>
          <w:bCs/>
          <w:color w:val="auto"/>
          <w:sz w:val="21"/>
          <w:szCs w:val="21"/>
          <w:highlight w:val="none"/>
          <w:lang w:eastAsia="zh-CN"/>
        </w:rPr>
      </w:pPr>
      <w:r>
        <w:rPr>
          <w:rFonts w:hint="eastAsia" w:hAnsi="宋体" w:cs="宋体"/>
          <w:bCs/>
          <w:color w:val="auto"/>
          <w:sz w:val="21"/>
          <w:szCs w:val="21"/>
          <w:highlight w:val="none"/>
          <w:lang w:val="en-US" w:eastAsia="zh-CN"/>
        </w:rPr>
        <w:t xml:space="preserve">3.1</w:t>
      </w:r>
      <w:r>
        <w:rPr>
          <w:rFonts w:hint="eastAsia" w:ascii="宋体" w:hAnsi="宋体" w:eastAsia="宋体" w:cs="宋体"/>
          <w:bCs/>
          <w:color w:val="auto"/>
          <w:sz w:val="21"/>
          <w:szCs w:val="21"/>
          <w:highlight w:val="none"/>
        </w:rPr>
        <w:t xml:space="preserve">安全管理措施</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将结合自身内部的实际情况，针对本工程的特殊环境，保证正常的工作秩序和安全，对检测人员进行安全教育，并与检测人员签订工程安全目标责任书。建立以项目负责人为第一责任人的责任负责制，建立健全安全生产责任制和群防群治的制度。所有进入现场的检测人员均配发安全防护用具。</w:t>
      </w:r>
      <w:r/>
    </w:p>
    <w:p>
      <w:pPr>
        <w:ind w:firstLine="420"/>
        <w:jc w:val="both"/>
        <w:spacing w:line="360" w:lineRule="auto"/>
        <w:widowControl w:val="off"/>
        <w:rPr>
          <w:rFonts w:hint="eastAsia" w:ascii="宋体" w:hAnsi="宋体" w:eastAsia="宋体" w:cs="宋体"/>
          <w:bCs/>
          <w:color w:val="auto"/>
          <w:sz w:val="21"/>
          <w:szCs w:val="21"/>
          <w:highlight w:val="none"/>
          <w:lang w:eastAsia="zh-CN"/>
        </w:rPr>
      </w:pPr>
      <w:r>
        <w:rPr>
          <w:rFonts w:hint="eastAsia" w:hAnsi="宋体" w:cs="宋体"/>
          <w:bCs/>
          <w:color w:val="auto"/>
          <w:sz w:val="21"/>
          <w:szCs w:val="21"/>
          <w:highlight w:val="none"/>
          <w:lang w:val="en-US" w:eastAsia="zh-CN"/>
        </w:rPr>
        <w:t xml:space="preserve">3.2</w:t>
      </w:r>
      <w:r>
        <w:rPr>
          <w:rFonts w:hint="eastAsia" w:ascii="宋体" w:hAnsi="宋体" w:eastAsia="宋体" w:cs="宋体"/>
          <w:bCs/>
          <w:color w:val="auto"/>
          <w:sz w:val="21"/>
          <w:szCs w:val="21"/>
          <w:highlight w:val="none"/>
        </w:rPr>
        <w:t xml:space="preserve">安全文明</w:t>
      </w:r>
      <w:r>
        <w:rPr>
          <w:rFonts w:hint="eastAsia" w:hAnsi="宋体" w:cs="宋体"/>
          <w:bCs/>
          <w:color w:val="auto"/>
          <w:sz w:val="21"/>
          <w:szCs w:val="21"/>
          <w:highlight w:val="none"/>
          <w:lang w:val="en-US" w:eastAsia="zh-CN"/>
        </w:rPr>
        <w:t xml:space="preserve">保障</w:t>
      </w:r>
      <w:r>
        <w:rPr>
          <w:rFonts w:hint="eastAsia" w:ascii="宋体" w:hAnsi="宋体" w:eastAsia="宋体" w:cs="宋体"/>
          <w:bCs/>
          <w:color w:val="auto"/>
          <w:sz w:val="21"/>
          <w:szCs w:val="21"/>
          <w:highlight w:val="none"/>
        </w:rPr>
        <w:t xml:space="preserve">措施</w:t>
      </w:r>
      <w:r>
        <w:rPr>
          <w:rFonts w:hint="eastAsia"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所有现场检测人员必须严格遵守业主对安全生产和文明施工的有关规定，须在确保质量和安全生产的前提下开展工作。以安全生产为标准化管理重点，做好安全技术交底和日常的安全检查，排除各种安全隐患。现场用电和动力设备由专人管理。</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val="en-US" w:eastAsia="zh-CN"/>
        </w:rPr>
        <w:t xml:space="preserve">3.3</w:t>
      </w:r>
      <w:r>
        <w:rPr>
          <w:rFonts w:hint="eastAsia" w:ascii="宋体" w:hAnsi="宋体" w:eastAsia="宋体" w:cs="宋体"/>
          <w:bCs/>
          <w:color w:val="auto"/>
          <w:sz w:val="21"/>
          <w:szCs w:val="21"/>
          <w:highlight w:val="none"/>
        </w:rPr>
        <w:t xml:space="preserve">安全应急预案</w:t>
      </w:r>
      <w:r>
        <w:rPr>
          <w:rFonts w:hint="eastAsia" w:hAnsi="宋体" w:cs="宋体"/>
          <w:bCs/>
          <w:color w:val="auto"/>
          <w:sz w:val="21"/>
          <w:szCs w:val="21"/>
          <w:highlight w:val="none"/>
          <w:lang w:eastAsia="zh-CN"/>
        </w:rPr>
        <w:t xml:space="preserve">。投标单位</w:t>
      </w:r>
      <w:r>
        <w:rPr>
          <w:rFonts w:hint="eastAsia" w:ascii="宋体" w:hAnsi="宋体" w:eastAsia="宋体" w:cs="宋体"/>
          <w:bCs/>
          <w:color w:val="auto"/>
          <w:sz w:val="21"/>
          <w:szCs w:val="21"/>
          <w:highlight w:val="none"/>
        </w:rPr>
        <w:t xml:space="preserve">应为所有员工办理人身意外伤害保险和医疗保险，确保检测人员在现场工作无后顾之忧。现场检测项目部在检测工作中使用或租用的机械、设备均有安检合格证，并为机械、车辆等购买保险。机械、车辆在进入现场操作之前均进行安全检查，所有辅助设备在使用之前也进行安全检查，排除一切安全隐患。</w:t>
      </w:r>
      <w:r/>
    </w:p>
    <w:p>
      <w:pPr>
        <w:ind w:firstLine="422"/>
        <w:jc w:val="both"/>
        <w:spacing w:line="360" w:lineRule="auto"/>
        <w:widowControl w:val="off"/>
        <w:rPr>
          <w:rFonts w:hint="default" w:hAnsi="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4、后续服务计划及保障措施</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hAnsi="宋体" w:cs="宋体"/>
          <w:bCs/>
          <w:color w:val="auto"/>
          <w:sz w:val="21"/>
          <w:szCs w:val="21"/>
          <w:highlight w:val="none"/>
          <w:lang w:val="en-US" w:eastAsia="zh-CN"/>
        </w:rPr>
        <w:t xml:space="preserve">投标单位</w:t>
      </w:r>
      <w:r>
        <w:rPr>
          <w:rFonts w:hint="eastAsia" w:ascii="宋体" w:hAnsi="宋体" w:eastAsia="宋体" w:cs="宋体"/>
          <w:bCs/>
          <w:color w:val="auto"/>
          <w:sz w:val="21"/>
          <w:szCs w:val="21"/>
          <w:highlight w:val="none"/>
        </w:rPr>
        <w:t xml:space="preserve">所有进驻现场的检测人员，严格遵守</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各项目现场的相关管理规定，</w:t>
      </w:r>
      <w:r>
        <w:rPr>
          <w:rFonts w:hint="eastAsia" w:hAnsi="宋体" w:cs="宋体"/>
          <w:bCs/>
          <w:color w:val="auto"/>
          <w:sz w:val="21"/>
          <w:szCs w:val="21"/>
          <w:highlight w:val="none"/>
          <w:lang w:val="en-US" w:eastAsia="zh-CN"/>
        </w:rPr>
        <w:t xml:space="preserve">落实后续服务计划，</w:t>
      </w:r>
      <w:r>
        <w:rPr>
          <w:rFonts w:hint="eastAsia" w:ascii="宋体" w:hAnsi="宋体" w:eastAsia="宋体" w:cs="宋体"/>
          <w:bCs/>
          <w:color w:val="auto"/>
          <w:sz w:val="21"/>
          <w:szCs w:val="21"/>
          <w:highlight w:val="none"/>
        </w:rPr>
        <w:t xml:space="preserve">做好</w:t>
      </w:r>
      <w:r>
        <w:rPr>
          <w:rFonts w:hint="eastAsia" w:hAnsi="宋体" w:cs="宋体"/>
          <w:bCs/>
          <w:color w:val="auto"/>
          <w:sz w:val="21"/>
          <w:szCs w:val="21"/>
          <w:highlight w:val="none"/>
          <w:lang w:val="en-US" w:eastAsia="zh-CN"/>
        </w:rPr>
        <w:t xml:space="preserve">服务保障措施</w:t>
      </w:r>
      <w:r>
        <w:rPr>
          <w:rFonts w:hint="eastAsia" w:ascii="宋体" w:hAnsi="宋体" w:eastAsia="宋体" w:cs="宋体"/>
          <w:bCs/>
          <w:color w:val="auto"/>
          <w:sz w:val="21"/>
          <w:szCs w:val="21"/>
          <w:highlight w:val="none"/>
        </w:rPr>
        <w:t xml:space="preserve">。</w:t>
      </w:r>
      <w:r/>
    </w:p>
    <w:p>
      <w:pPr>
        <w:ind w:firstLine="420"/>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4.1</w:t>
      </w:r>
      <w:r>
        <w:rPr>
          <w:rFonts w:hint="eastAsia" w:ascii="宋体" w:hAnsi="宋体" w:eastAsia="宋体" w:cs="宋体"/>
          <w:bCs/>
          <w:color w:val="auto"/>
          <w:sz w:val="21"/>
          <w:szCs w:val="21"/>
          <w:highlight w:val="none"/>
          <w:lang w:val="en-US" w:eastAsia="zh-CN"/>
        </w:rPr>
        <w:t xml:space="preserve">后续服务内容</w:t>
      </w:r>
      <w:r>
        <w:rPr>
          <w:rFonts w:hint="eastAsia" w:hAnsi="宋体" w:cs="宋体"/>
          <w:bCs/>
          <w:color w:val="auto"/>
          <w:sz w:val="21"/>
          <w:szCs w:val="21"/>
          <w:highlight w:val="none"/>
          <w:lang w:val="en-US" w:eastAsia="zh-CN"/>
        </w:rPr>
        <w:t xml:space="preserve">。对检测设备提供定期校准服务，对异常数据进行复核及深化分析。</w:t>
      </w:r>
      <w:r/>
    </w:p>
    <w:p>
      <w:pPr>
        <w:ind w:firstLine="420"/>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4.2</w:t>
      </w:r>
      <w:r>
        <w:rPr>
          <w:rFonts w:hint="eastAsia" w:ascii="宋体" w:hAnsi="宋体" w:eastAsia="宋体" w:cs="宋体"/>
          <w:bCs/>
          <w:color w:val="auto"/>
          <w:sz w:val="21"/>
          <w:szCs w:val="21"/>
          <w:highlight w:val="none"/>
          <w:lang w:val="en-US" w:eastAsia="zh-CN"/>
        </w:rPr>
        <w:t xml:space="preserve">服务响应</w:t>
      </w:r>
      <w:r>
        <w:rPr>
          <w:rFonts w:hint="eastAsia" w:hAnsi="宋体" w:cs="宋体"/>
          <w:bCs/>
          <w:color w:val="auto"/>
          <w:sz w:val="21"/>
          <w:szCs w:val="21"/>
          <w:highlight w:val="none"/>
          <w:lang w:val="en-US" w:eastAsia="zh-CN"/>
        </w:rPr>
        <w:t xml:space="preserve">。制定应急检测服务，承诺针对采购人的服务要求，达到现场的响应速度及方式。</w:t>
      </w:r>
      <w:r/>
    </w:p>
    <w:p>
      <w:pPr>
        <w:ind w:firstLine="420"/>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hAnsi="宋体" w:cs="宋体"/>
          <w:bCs/>
          <w:color w:val="auto"/>
          <w:sz w:val="21"/>
          <w:szCs w:val="21"/>
          <w:highlight w:val="none"/>
          <w:lang w:val="en-US" w:eastAsia="zh-CN"/>
        </w:rPr>
        <w:t xml:space="preserve">4.3</w:t>
      </w:r>
      <w:r>
        <w:rPr>
          <w:rFonts w:hint="eastAsia" w:ascii="宋体" w:hAnsi="宋体" w:eastAsia="宋体" w:cs="宋体"/>
          <w:bCs/>
          <w:color w:val="auto"/>
          <w:sz w:val="21"/>
          <w:szCs w:val="21"/>
          <w:highlight w:val="none"/>
          <w:lang w:val="en-US" w:eastAsia="zh-CN"/>
        </w:rPr>
        <w:t xml:space="preserve">后续服务</w:t>
      </w:r>
      <w:r>
        <w:rPr>
          <w:rFonts w:hint="eastAsia" w:hAnsi="宋体" w:cs="宋体"/>
          <w:bCs/>
          <w:color w:val="auto"/>
          <w:sz w:val="21"/>
          <w:szCs w:val="21"/>
          <w:highlight w:val="none"/>
          <w:lang w:val="en-US" w:eastAsia="zh-CN"/>
        </w:rPr>
        <w:t xml:space="preserve">保障</w:t>
      </w:r>
      <w:r>
        <w:rPr>
          <w:rFonts w:hint="eastAsia" w:ascii="宋体" w:hAnsi="宋体" w:eastAsia="宋体" w:cs="宋体"/>
          <w:bCs/>
          <w:color w:val="auto"/>
          <w:sz w:val="21"/>
          <w:szCs w:val="21"/>
          <w:highlight w:val="none"/>
          <w:lang w:val="en-US" w:eastAsia="zh-CN"/>
        </w:rPr>
        <w:t xml:space="preserve">措施</w:t>
      </w:r>
      <w:r>
        <w:rPr>
          <w:rFonts w:hint="eastAsia" w:hAnsi="宋体" w:cs="宋体"/>
          <w:bCs/>
          <w:color w:val="auto"/>
          <w:sz w:val="21"/>
          <w:szCs w:val="21"/>
          <w:highlight w:val="none"/>
          <w:lang w:val="en-US" w:eastAsia="zh-CN"/>
        </w:rPr>
        <w:t xml:space="preserve">。对人员定期培训、设备定期检修，如在服务过程中发现问题，及时调整服务方案和策略。以保障后续服务质量。</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、其他要求</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须为员工购买用工意外伤害保险，采购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不承担任何法律和经济上的责任。</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hAnsi="宋体" w:cs="宋体"/>
          <w:bCs/>
          <w:color w:val="auto"/>
          <w:sz w:val="21"/>
          <w:szCs w:val="21"/>
          <w:highlight w:val="none"/>
          <w:lang w:val="en-US" w:eastAsia="zh-CN"/>
        </w:rPr>
        <w:t xml:space="preserve">投标</w:t>
      </w:r>
      <w:r>
        <w:rPr>
          <w:rFonts w:hint="eastAsia" w:hAnsi="宋体" w:cs="宋体"/>
          <w:bCs/>
          <w:color w:val="auto"/>
          <w:sz w:val="21"/>
          <w:szCs w:val="21"/>
          <w:highlight w:val="none"/>
          <w:lang w:eastAsia="zh-CN"/>
        </w:rPr>
        <w:t xml:space="preserve">单位</w:t>
      </w:r>
      <w:r>
        <w:rPr>
          <w:rFonts w:hint="eastAsia" w:ascii="宋体" w:hAnsi="宋体" w:eastAsia="宋体" w:cs="宋体"/>
          <w:bCs/>
          <w:color w:val="auto"/>
          <w:sz w:val="21"/>
          <w:szCs w:val="21"/>
          <w:highlight w:val="none"/>
        </w:rPr>
        <w:t xml:space="preserve">在被确定</w:t>
      </w:r>
      <w:r>
        <w:rPr>
          <w:rFonts w:hint="eastAsia" w:hAnsi="宋体" w:cs="宋体"/>
          <w:bCs/>
          <w:color w:val="auto"/>
          <w:sz w:val="21"/>
          <w:szCs w:val="21"/>
          <w:highlight w:val="none"/>
          <w:lang w:val="en-US" w:eastAsia="zh-CN"/>
        </w:rPr>
        <w:t xml:space="preserve">中标</w:t>
      </w:r>
      <w:r>
        <w:rPr>
          <w:rFonts w:hint="eastAsia" w:ascii="宋体" w:hAnsi="宋体" w:eastAsia="宋体" w:cs="宋体"/>
          <w:bCs/>
          <w:color w:val="auto"/>
          <w:sz w:val="21"/>
          <w:szCs w:val="21"/>
          <w:highlight w:val="none"/>
        </w:rPr>
        <w:t xml:space="preserve">后，其在</w:t>
      </w:r>
      <w:r>
        <w:rPr>
          <w:rFonts w:hint="eastAsia" w:hAnsi="宋体" w:cs="宋体"/>
          <w:bCs/>
          <w:color w:val="auto"/>
          <w:sz w:val="21"/>
          <w:szCs w:val="21"/>
          <w:highlight w:val="none"/>
          <w:lang w:val="en-US" w:eastAsia="zh-CN"/>
        </w:rPr>
        <w:t xml:space="preserve">投标</w:t>
      </w:r>
      <w:r>
        <w:rPr>
          <w:rFonts w:hint="eastAsia" w:ascii="宋体" w:hAnsi="宋体" w:eastAsia="宋体" w:cs="宋体"/>
          <w:bCs/>
          <w:color w:val="auto"/>
          <w:sz w:val="21"/>
          <w:szCs w:val="21"/>
          <w:highlight w:val="none"/>
        </w:rPr>
        <w:t xml:space="preserve">文件中所提供的服务人员名单须相对固定，如有人员调整须在合同签订前征得采购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同意，否则采购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有权终止合同。</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在履行合同期间，若所提供的服务不能令</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满意，如减少双方约定的服务范围，服务人员的素质水平、工作态度等，则采购单位有权要求</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在指定时间内更换管理及服务人员。</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在项目进行过程中产生的任何安全、损坏等责任事故一律由</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自行承担。如遇突发情况，</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需协助采购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完成需要</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配合的服务。因</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管理不善，造成工作范围内的损坏的，由直接责任人赔偿，若直接责任人因故无法赔偿的，采购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有权要求</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负责赔偿损失，情节严重的可终止合同甚至诉诸法律。</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工作人员应遵守</w:t>
      </w:r>
      <w:r>
        <w:rPr>
          <w:rFonts w:hint="eastAsia" w:hAnsi="宋体" w:cs="宋体"/>
          <w:bCs/>
          <w:color w:val="auto"/>
          <w:sz w:val="21"/>
          <w:szCs w:val="21"/>
          <w:highlight w:val="none"/>
          <w:lang w:eastAsia="zh-CN"/>
        </w:rPr>
        <w:t xml:space="preserve">采购人</w:t>
      </w:r>
      <w:r>
        <w:rPr>
          <w:rFonts w:hint="eastAsia" w:ascii="宋体" w:hAnsi="宋体" w:eastAsia="宋体" w:cs="宋体"/>
          <w:bCs/>
          <w:color w:val="auto"/>
          <w:sz w:val="21"/>
          <w:szCs w:val="21"/>
          <w:highlight w:val="none"/>
        </w:rPr>
        <w:t xml:space="preserve">相关的管理制度；不得随意离开岗位；</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应执行国家有关规定，负责</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员工的生病、事故、工伤、伤残、死亡和劳务纠纷，采购单位不承担任何责任。同时由于</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的故意或过失而使得采购单位的设施设备引起的人员财产损失，应由</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承担相关责任。</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须具备独立完成本项目的能力。各</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可在响应前自行进行调研，了解项目情况及详细需求，但</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不得因此使采购单位承担有关的责任和蒙受损失。</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应承担前期调研的责任和风险。</w:t>
      </w:r>
      <w:r>
        <w:rPr>
          <w:rFonts w:hint="eastAsia" w:hAnsi="宋体" w:cs="宋体"/>
          <w:bCs/>
          <w:color w:val="auto"/>
          <w:sz w:val="21"/>
          <w:szCs w:val="21"/>
          <w:highlight w:val="none"/>
          <w:lang w:eastAsia="zh-CN"/>
        </w:rPr>
        <w:t xml:space="preserve">中标单位中标</w:t>
      </w:r>
      <w:r>
        <w:rPr>
          <w:rFonts w:hint="eastAsia" w:ascii="宋体" w:hAnsi="宋体" w:eastAsia="宋体" w:cs="宋体"/>
          <w:bCs/>
          <w:color w:val="auto"/>
          <w:sz w:val="21"/>
          <w:szCs w:val="21"/>
          <w:highlight w:val="none"/>
        </w:rPr>
        <w:t xml:space="preserve">后，不得以不了解项目情况及详细需求为理由而向采购单位提出任何索赔的要求，对此采购单位不再承担任何责任。</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7、知识产权的要求</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（1）本项目全部知识产权均归采购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所有（独有），未经采购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书面同意，无论是否被采购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所采用</w:t>
      </w:r>
      <w:r>
        <w:rPr>
          <w:rFonts w:hint="eastAsia" w:hAnsi="宋体" w:cs="宋体"/>
          <w:bCs/>
          <w:color w:val="auto"/>
          <w:sz w:val="21"/>
          <w:szCs w:val="21"/>
          <w:highlight w:val="none"/>
          <w:lang w:eastAsia="zh-CN"/>
        </w:rPr>
        <w:t xml:space="preserve">，</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不得对外发布。</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w:t>
      </w:r>
      <w:r>
        <w:rPr>
          <w:rFonts w:hint="eastAsia" w:hAnsi="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提供的资料文件，</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具有保密义务。</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为本项目而引用、收集其他社会上的文件、软件所涉及的知识产权费用和法律纠纷由</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自行负责，由此而引起的法律纠纷以及费用须由</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全部承担。</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8、与本次采购项目有关的质量、安全问题均由</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终生负责，相关的人员、财产责任风险均由</w:t>
      </w:r>
      <w:r>
        <w:rPr>
          <w:rFonts w:hint="eastAsia" w:hAnsi="宋体" w:cs="宋体"/>
          <w:bCs/>
          <w:color w:val="auto"/>
          <w:sz w:val="21"/>
          <w:szCs w:val="21"/>
          <w:highlight w:val="none"/>
          <w:lang w:val="en-US" w:eastAsia="zh-CN"/>
        </w:rPr>
        <w:t xml:space="preserve">中标单位</w:t>
      </w:r>
      <w:r>
        <w:rPr>
          <w:rFonts w:hint="eastAsia" w:ascii="宋体" w:hAnsi="宋体" w:eastAsia="宋体" w:cs="宋体"/>
          <w:bCs/>
          <w:color w:val="auto"/>
          <w:sz w:val="21"/>
          <w:szCs w:val="21"/>
          <w:highlight w:val="none"/>
        </w:rPr>
        <w:t xml:space="preserve">全部承担，与他人无涉。</w:t>
      </w:r>
      <w:r/>
    </w:p>
    <w:p>
      <w:pPr>
        <w:ind w:firstLine="422"/>
        <w:jc w:val="both"/>
        <w:spacing w:line="360" w:lineRule="auto"/>
        <w:widowControl w:val="off"/>
        <w:tabs>
          <w:tab w:val="left" w:pos="7680" w:leader="none"/>
        </w:tabs>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、商务要求：</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1、合同履行期限：</w:t>
      </w:r>
      <w:r>
        <w:rPr>
          <w:rFonts w:hint="eastAsia" w:hAnsi="宋体" w:cs="宋体"/>
          <w:color w:val="auto"/>
          <w:sz w:val="21"/>
          <w:szCs w:val="21"/>
          <w:highlight w:val="none"/>
          <w:lang w:eastAsia="zh-CN"/>
        </w:rPr>
        <w:t xml:space="preserve">自合同签订后30个工作日内完成所有检测工作，安全性鉴定报告上传苏州市房屋安全鉴定管理信息系统，审核通过后出具安全性鉴定报告。</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2、服务地点：采购单位指定地点。</w:t>
      </w:r>
      <w:r/>
    </w:p>
    <w:p>
      <w:pPr>
        <w:ind w:firstLine="42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3、投标报价：总价报价。</w:t>
      </w:r>
      <w:r>
        <w:rPr>
          <w:rFonts w:hint="eastAsia" w:hAnsi="宋体" w:cs="宋体"/>
          <w:bCs/>
          <w:color w:val="auto"/>
          <w:sz w:val="21"/>
          <w:szCs w:val="21"/>
          <w:highlight w:val="none"/>
          <w:lang w:val="en-US" w:eastAsia="zh-CN"/>
        </w:rPr>
        <w:t xml:space="preserve">投标</w:t>
      </w:r>
      <w:r>
        <w:rPr>
          <w:rFonts w:hint="eastAsia" w:ascii="宋体" w:hAnsi="宋体" w:eastAsia="宋体" w:cs="宋体"/>
          <w:bCs/>
          <w:color w:val="auto"/>
          <w:sz w:val="21"/>
          <w:szCs w:val="21"/>
          <w:highlight w:val="none"/>
        </w:rPr>
        <w:t xml:space="preserve">总报价应包括完成该项工作所需全部服务和货物的检验检测、鉴定费、知识产权、耗材、交通、通讯、设备、工具、各种税费、人工、保险、劳保、修补、维护、利润、税金、社保、政策性文件规定及合同包含的所有风险、责任等各项应有费用。供应商应将所有费用在合同实施期间因市场变化因素而变动进行调整的情况包含在内，采购单位不再为此承担任何费用和责任，除非因特殊原因并经双方协商同意，供应商不得再要求追加任何费用。同时，除非合同条款中另有规定，否则，</w:t>
      </w:r>
      <w:r>
        <w:rPr>
          <w:rFonts w:hint="eastAsia" w:hAnsi="宋体" w:cs="宋体"/>
          <w:bCs/>
          <w:color w:val="auto"/>
          <w:sz w:val="21"/>
          <w:szCs w:val="21"/>
          <w:highlight w:val="none"/>
          <w:lang w:eastAsia="zh-CN"/>
        </w:rPr>
        <w:t xml:space="preserve">投标单位所报价格在合同实施期间不因市场变化因素而变动</w:t>
      </w:r>
      <w:r>
        <w:rPr>
          <w:rFonts w:hint="eastAsia" w:ascii="宋体" w:hAnsi="宋体" w:eastAsia="宋体" w:cs="宋体"/>
          <w:bCs/>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Hans"/>
        </w:rPr>
        <w:t xml:space="preserve">付款步骤：</w:t>
      </w:r>
      <w:r/>
    </w:p>
    <w:p>
      <w:pPr>
        <w:ind w:firstLine="420"/>
        <w:jc w:val="both"/>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Hans"/>
        </w:rPr>
      </w:r>
      <w:r>
        <w:rPr>
          <w:rFonts w:ascii="SimSun" w:hAnsi="SimSun" w:eastAsia="SimSun" w:cs="SimSun"/>
          <w:color w:val="000000" w:themeColor="text1"/>
          <w:sz w:val="21"/>
          <w:highlight w:val="none"/>
        </w:rPr>
        <w:t xml:space="preserve">双方签订合同并开工后，支付合同总金额的10%为预付款；待整个项目完成并经甲方或相关单位验收合格后，乙方向甲方提供下列(A、B）单据后支付至结算价100%。</w:t>
      </w:r>
      <w:r>
        <w:rPr>
          <w:rFonts w:hint="eastAsia" w:ascii="宋体" w:hAnsi="宋体" w:eastAsia="宋体" w:cs="宋体"/>
          <w:color w:val="000000" w:themeColor="text1"/>
          <w:sz w:val="21"/>
          <w:szCs w:val="21"/>
          <w:highlight w:val="none"/>
          <w:lang w:eastAsia="zh-Hans"/>
        </w:rPr>
      </w:r>
      <w:r>
        <w:rPr>
          <w:rFonts w:hint="eastAsia" w:ascii="宋体" w:hAnsi="宋体" w:eastAsia="宋体" w:cs="宋体"/>
          <w:color w:val="000000" w:themeColor="text1"/>
          <w:sz w:val="21"/>
          <w:szCs w:val="21"/>
          <w:highlight w:val="none"/>
          <w:lang w:eastAsia="zh-Hans"/>
        </w:rP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A、合格的发票；</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B、由供需双方签章的《政府</w:t>
      </w:r>
      <w:r>
        <w:rPr>
          <w:rFonts w:hint="eastAsia" w:ascii="宋体" w:hAnsi="宋体" w:eastAsia="宋体" w:cs="宋体"/>
          <w:color w:val="auto"/>
          <w:sz w:val="21"/>
          <w:szCs w:val="21"/>
          <w:highlight w:val="none"/>
          <w:lang w:val="zh-CN"/>
        </w:rPr>
        <w:t xml:space="preserve">采购履约验收书</w:t>
      </w:r>
      <w:r>
        <w:rPr>
          <w:rFonts w:hint="eastAsia" w:ascii="宋体" w:hAnsi="宋体" w:eastAsia="宋体" w:cs="宋体"/>
          <w:color w:val="auto"/>
          <w:sz w:val="21"/>
          <w:szCs w:val="21"/>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5、付款方式：银行转账。</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w:t>
      </w:r>
      <w:r>
        <w:rPr>
          <w:rFonts w:hint="eastAsia" w:hAnsi="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向采购单位提供的发票为虚假、违法、无效或过期的，采购单位有权暂不支付该笔款项，并有权要求</w:t>
      </w:r>
      <w:r>
        <w:rPr>
          <w:rFonts w:hint="eastAsia" w:hAnsi="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提供合法有效的发票。此时采购单位不承担任何逾期付款违约责任，一切损失由</w:t>
      </w:r>
      <w:r>
        <w:rPr>
          <w:rFonts w:hint="eastAsia" w:hAnsi="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自行承担。</w:t>
      </w:r>
      <w:r/>
    </w:p>
    <w:p>
      <w:pPr>
        <w:ind w:firstLine="422"/>
        <w:spacing w:line="360" w:lineRule="auto"/>
        <w:widowControl w:val="off"/>
        <w:rPr>
          <w:rFonts w:hint="eastAsia" w:ascii="宋体" w:hAnsi="宋体" w:eastAsia="宋体" w:cs="宋体"/>
          <w:b/>
          <w:color w:val="auto"/>
          <w:sz w:val="21"/>
          <w:szCs w:val="21"/>
          <w:highlight w:val="none"/>
        </w:rPr>
      </w:pPr>
      <w:r>
        <w:rPr>
          <w:rFonts w:hint="eastAsia"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、综合说明</w:t>
      </w:r>
      <w:r/>
    </w:p>
    <w:p>
      <w:pPr>
        <w:ind w:firstLine="42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1、采购文件提出的是最低限度的要求，并未对一切细节作出规定，也未充分引述全部有关标准和规范的条文，</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所提供的相关货物或服务都应符合已颁布的现行的国家标准、行业标准和地方标准，并应达到或优于采购文件要求。</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所提供的服务必须符合国家相关标准，必须满足本次采购的要求，若所提供的服务无法满足采购单位的需求，造成的损失和后果由</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负全责。</w:t>
      </w:r>
      <w:r/>
    </w:p>
    <w:p>
      <w:pPr>
        <w:ind w:firstLine="42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hAnsi="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必须承诺采购文件中提出的全部要求，如果其中某些条款不响应时，应在文件中逐条列出，未列出的视同响应。</w:t>
      </w:r>
      <w:r/>
    </w:p>
    <w:p>
      <w:pPr>
        <w:ind w:firstLine="420"/>
        <w:jc w:val="both"/>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3、验收</w:t>
      </w:r>
      <w:r/>
    </w:p>
    <w:p>
      <w:pPr>
        <w:ind w:firstLine="420"/>
        <w:jc w:val="both"/>
        <w:spacing w:line="360" w:lineRule="auto"/>
        <w:widowControl/>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（1）验收标准：根据采购文件要求及相关法律、法规进行验收通过。</w:t>
      </w:r>
      <w:r/>
    </w:p>
    <w:p>
      <w:pPr>
        <w:ind w:firstLine="420"/>
        <w:jc w:val="both"/>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4"/>
          <w:highlight w:val="none"/>
        </w:rPr>
        <w:t xml:space="preserve">（2）验收方式：</w:t>
      </w:r>
      <w:r>
        <w:rPr>
          <w:rFonts w:hint="eastAsia" w:ascii="宋体" w:hAnsi="宋体" w:eastAsia="宋体" w:cs="宋体"/>
          <w:color w:val="auto"/>
          <w:sz w:val="21"/>
          <w:szCs w:val="21"/>
          <w:highlight w:val="none"/>
          <w:lang w:val="zh-CN"/>
        </w:rPr>
        <w:t xml:space="preserve">由采购人进行验收，</w:t>
      </w:r>
      <w:r>
        <w:rPr>
          <w:rFonts w:hint="eastAsia" w:ascii="宋体" w:hAnsi="宋体" w:eastAsia="宋体" w:cs="宋体"/>
          <w:color w:val="auto"/>
          <w:sz w:val="21"/>
          <w:szCs w:val="21"/>
          <w:highlight w:val="none"/>
        </w:rPr>
        <w:t xml:space="preserve">项目结束后采购人对中标单位提供的成果</w:t>
      </w:r>
      <w:r>
        <w:rPr>
          <w:rFonts w:hint="eastAsia" w:ascii="宋体" w:hAnsi="宋体" w:eastAsia="宋体" w:cs="宋体"/>
          <w:color w:val="auto"/>
          <w:sz w:val="21"/>
          <w:szCs w:val="21"/>
          <w:highlight w:val="none"/>
          <w:lang w:val="zh-CN"/>
        </w:rPr>
        <w:t xml:space="preserve">进行</w:t>
      </w:r>
      <w:r>
        <w:rPr>
          <w:rFonts w:hint="eastAsia" w:ascii="宋体" w:hAnsi="宋体" w:eastAsia="宋体" w:cs="宋体"/>
          <w:color w:val="auto"/>
          <w:sz w:val="21"/>
          <w:szCs w:val="21"/>
          <w:highlight w:val="none"/>
        </w:rPr>
        <w:t xml:space="preserve">履约</w:t>
      </w:r>
      <w:r>
        <w:rPr>
          <w:rFonts w:hint="eastAsia" w:ascii="宋体" w:hAnsi="宋体" w:eastAsia="宋体" w:cs="宋体"/>
          <w:color w:val="auto"/>
          <w:sz w:val="21"/>
          <w:szCs w:val="21"/>
          <w:highlight w:val="none"/>
          <w:lang w:val="zh-CN"/>
        </w:rPr>
        <w:t xml:space="preserve">验收。采购人向供应商发出《</w:t>
      </w:r>
      <w:r>
        <w:rPr>
          <w:rFonts w:hint="eastAsia" w:ascii="宋体" w:hAnsi="宋体" w:eastAsia="宋体" w:cs="宋体"/>
          <w:color w:val="auto"/>
          <w:sz w:val="21"/>
          <w:szCs w:val="21"/>
          <w:highlight w:val="none"/>
        </w:rPr>
        <w:t xml:space="preserve">政府</w:t>
      </w:r>
      <w:r>
        <w:rPr>
          <w:rFonts w:hint="eastAsia" w:ascii="宋体" w:hAnsi="宋体" w:eastAsia="宋体" w:cs="宋体"/>
          <w:color w:val="auto"/>
          <w:sz w:val="21"/>
          <w:szCs w:val="21"/>
          <w:highlight w:val="none"/>
          <w:lang w:val="zh-CN"/>
        </w:rPr>
        <w:t xml:space="preserve">采购履约验收通知单》（</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lang w:val="zh-CN"/>
        </w:rPr>
        <w:t xml:space="preserve">附件1），验收完成后形成《</w:t>
      </w:r>
      <w:r>
        <w:rPr>
          <w:rFonts w:hint="eastAsia" w:ascii="宋体" w:hAnsi="宋体" w:eastAsia="宋体" w:cs="宋体"/>
          <w:color w:val="auto"/>
          <w:sz w:val="21"/>
          <w:szCs w:val="21"/>
          <w:highlight w:val="none"/>
        </w:rPr>
        <w:t xml:space="preserve">政府</w:t>
      </w:r>
      <w:r>
        <w:rPr>
          <w:rFonts w:hint="eastAsia" w:ascii="宋体" w:hAnsi="宋体" w:eastAsia="宋体" w:cs="宋体"/>
          <w:color w:val="auto"/>
          <w:sz w:val="21"/>
          <w:szCs w:val="21"/>
          <w:highlight w:val="none"/>
          <w:lang w:val="zh-CN"/>
        </w:rPr>
        <w:t xml:space="preserve">采购履约验收书》（</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lang w:val="zh-CN"/>
        </w:rPr>
        <w:t xml:space="preserve">附件2）。</w:t>
      </w:r>
      <w:bookmarkEnd w:id="11"/>
      <w:r/>
      <w:bookmarkEnd w:id="12"/>
      <w:r/>
      <w:r/>
    </w:p>
    <w:p>
      <w:pPr>
        <w:ind w:firstLine="420"/>
        <w:jc w:val="both"/>
        <w:spacing w:line="360" w:lineRule="auto"/>
        <w:rPr>
          <w:rFonts w:hAnsi="宋体"/>
          <w:b/>
          <w:bCs/>
          <w:color w:val="auto"/>
          <w:sz w:val="21"/>
          <w:szCs w:val="21"/>
          <w:highlight w:val="none"/>
        </w:rPr>
        <w:outlineLvl w:val="5"/>
      </w:pPr>
      <w:r>
        <w:rPr>
          <w:rFonts w:hint="eastAsia" w:hAnsi="宋体"/>
          <w:b/>
          <w:bCs/>
          <w:color w:val="auto"/>
          <w:sz w:val="21"/>
          <w:szCs w:val="21"/>
          <w:highlight w:val="none"/>
          <w:lang w:val="en-US" w:eastAsia="zh-CN"/>
        </w:rPr>
        <w:t xml:space="preserve">七</w:t>
      </w:r>
      <w:r>
        <w:rPr>
          <w:rFonts w:hint="eastAsia" w:hAnsi="宋体"/>
          <w:b/>
          <w:bCs/>
          <w:color w:val="auto"/>
          <w:sz w:val="21"/>
          <w:szCs w:val="21"/>
          <w:highlight w:val="none"/>
          <w:lang w:val="zh-CN"/>
        </w:rPr>
        <w:t xml:space="preserve">、</w:t>
      </w:r>
      <w:r>
        <w:rPr>
          <w:rFonts w:hint="eastAsia" w:hAnsi="宋体"/>
          <w:b/>
          <w:bCs/>
          <w:color w:val="auto"/>
          <w:sz w:val="21"/>
          <w:szCs w:val="21"/>
          <w:highlight w:val="none"/>
        </w:rPr>
        <w:t xml:space="preserve">政府采购政策：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1、节能产品和环境标志产品</w:t>
      </w:r>
      <w:r/>
    </w:p>
    <w:p>
      <w:pPr>
        <w:ind w:firstLine="420"/>
        <w:jc w:val="both"/>
        <w:spacing w:line="360" w:lineRule="auto"/>
        <w:rPr>
          <w:rFonts w:hAnsi="宋体"/>
          <w:b/>
          <w:bCs/>
          <w:color w:val="auto"/>
          <w:sz w:val="21"/>
          <w:szCs w:val="21"/>
          <w:highlight w:val="none"/>
        </w:rPr>
        <w:outlineLvl w:val="5"/>
      </w:pPr>
      <w:r>
        <w:rPr>
          <w:rFonts w:hint="eastAsia" w:hAnsi="宋体"/>
          <w:color w:val="auto"/>
          <w:sz w:val="21"/>
          <w:szCs w:val="21"/>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b/>
          <w:bCs/>
          <w:color w:val="auto"/>
          <w:sz w:val="21"/>
          <w:szCs w:val="21"/>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w:t>
      </w:r>
      <w:r>
        <w:rPr>
          <w:rFonts w:hint="eastAsia" w:hAnsi="宋体"/>
          <w:b/>
          <w:bCs/>
          <w:color w:val="auto"/>
          <w:sz w:val="21"/>
          <w:szCs w:val="21"/>
          <w:highlight w:val="none"/>
        </w:rPr>
        <w:t xml:space="preserve">小微企业的价格分评审</w:t>
      </w:r>
      <w:r/>
    </w:p>
    <w:p>
      <w:pPr>
        <w:ind w:firstLine="420"/>
        <w:jc w:val="both"/>
        <w:spacing w:line="360" w:lineRule="auto"/>
        <w:rPr>
          <w:rFonts w:hAnsi="宋体"/>
          <w:b/>
          <w:bCs/>
          <w:color w:val="auto"/>
          <w:sz w:val="21"/>
          <w:szCs w:val="21"/>
          <w:highlight w:val="none"/>
        </w:rPr>
        <w:outlineLvl w:val="5"/>
      </w:pPr>
      <w:r>
        <w:rPr>
          <w:rFonts w:hint="eastAsia" w:hAnsi="宋体"/>
          <w:b/>
          <w:bCs/>
          <w:color w:val="auto"/>
          <w:sz w:val="21"/>
          <w:szCs w:val="21"/>
          <w:highlight w:val="none"/>
        </w:rPr>
        <w:t xml:space="preserve">2.1 根据《政府采购促进中小企业发展管理办法（财库〔2020〕46号）及《关于贯彻执行绿色采购、促进残疾人就业和支持监狱企业发展有关政策的通知》（苏财购〔2019〕10号）的规定：</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（5）符合中小企业划分标准的个体工商户，在政府采购活动中视同中小企业。</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（6）中小企业划分标准详见“工信部联企业〔2011〕300号通知”。</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（7）中标、中标供应商享受本办法规定的中小企业扶持政策的，《中小企业声明函》应当随中标、</w:t>
      </w:r>
      <w:r>
        <w:rPr>
          <w:rFonts w:hint="eastAsia" w:hAnsi="宋体"/>
          <w:color w:val="auto"/>
          <w:sz w:val="21"/>
          <w:szCs w:val="21"/>
          <w:highlight w:val="none"/>
          <w:lang w:eastAsia="zh-CN"/>
        </w:rPr>
        <w:t xml:space="preserve">中标</w:t>
      </w:r>
      <w:r>
        <w:rPr>
          <w:rFonts w:hint="eastAsia" w:hAnsi="宋体"/>
          <w:color w:val="auto"/>
          <w:sz w:val="21"/>
          <w:szCs w:val="21"/>
          <w:highlight w:val="none"/>
        </w:rPr>
        <w:t xml:space="preserve">结果同时公告，接受社会监督。</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（8）以上规定未尽事项，按《政府采购促进中小企业发展管理办法》（财库﹝2020﹞46号）等有关制度规定执行。</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2.2 残疾人福利性单位政策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（3）中标、中标供应商为残疾人福利性单位的，《残疾人福利性单位声明函》应当随中标、</w:t>
      </w:r>
      <w:r>
        <w:rPr>
          <w:rFonts w:hint="eastAsia" w:hAnsi="宋体"/>
          <w:color w:val="auto"/>
          <w:sz w:val="21"/>
          <w:szCs w:val="21"/>
          <w:highlight w:val="none"/>
          <w:lang w:eastAsia="zh-CN"/>
        </w:rPr>
        <w:t xml:space="preserve">中标</w:t>
      </w:r>
      <w:r>
        <w:rPr>
          <w:rFonts w:hint="eastAsia" w:hAnsi="宋体"/>
          <w:color w:val="auto"/>
          <w:sz w:val="21"/>
          <w:szCs w:val="21"/>
          <w:highlight w:val="none"/>
        </w:rPr>
        <w:t xml:space="preserve">结果同时公告，接受社会监督。</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2.3 监狱企业发展政策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20"/>
        <w:jc w:val="both"/>
        <w:spacing w:line="360" w:lineRule="auto"/>
        <w:rPr>
          <w:rFonts w:hAnsi="宋体"/>
          <w:color w:val="auto"/>
          <w:sz w:val="21"/>
          <w:szCs w:val="21"/>
          <w:highlight w:val="none"/>
        </w:rPr>
        <w:outlineLvl w:val="5"/>
      </w:pPr>
      <w:r>
        <w:rPr>
          <w:rFonts w:hint="eastAsia" w:hAnsi="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line="360" w:lineRule="auto"/>
        <w:rPr>
          <w:rFonts w:hAnsi="宋体"/>
          <w:b/>
          <w:bCs/>
          <w:color w:val="auto"/>
          <w:sz w:val="21"/>
          <w:szCs w:val="21"/>
          <w:highlight w:val="none"/>
        </w:rPr>
        <w:outlineLvl w:val="5"/>
      </w:pPr>
      <w:r>
        <w:rPr>
          <w:rFonts w:hint="eastAsia" w:hAnsi="宋体"/>
          <w:b/>
          <w:bCs/>
          <w:color w:val="auto"/>
          <w:sz w:val="21"/>
          <w:szCs w:val="21"/>
          <w:highlight w:val="none"/>
        </w:rPr>
        <w:t xml:space="preserve">2.4 专门面向中小企业采购的项目，不再执行价格评审优惠的扶持政策。</w:t>
      </w:r>
      <w:r/>
    </w:p>
    <w:p>
      <w:pPr>
        <w:ind w:firstLine="420"/>
        <w:jc w:val="both"/>
        <w:spacing w:line="360" w:lineRule="auto"/>
        <w:rPr>
          <w:rFonts w:hAnsi="宋体"/>
          <w:b/>
          <w:bCs/>
          <w:color w:val="auto"/>
          <w:sz w:val="21"/>
          <w:szCs w:val="21"/>
          <w:highlight w:val="none"/>
        </w:rPr>
        <w:outlineLvl w:val="5"/>
      </w:pPr>
      <w:r>
        <w:rPr>
          <w:rFonts w:hint="eastAsia" w:hAnsi="宋体"/>
          <w:b/>
          <w:bCs/>
          <w:color w:val="auto"/>
          <w:sz w:val="21"/>
          <w:szCs w:val="21"/>
          <w:highlight w:val="none"/>
        </w:rPr>
        <w:t xml:space="preserve">本项目专门面向中小企业采购，所属行业为</w:t>
      </w:r>
      <w:r>
        <w:rPr>
          <w:rFonts w:hint="eastAsia" w:hAnsi="宋体"/>
          <w:b/>
          <w:bCs/>
          <w:color w:val="auto"/>
          <w:sz w:val="21"/>
          <w:szCs w:val="21"/>
          <w:highlight w:val="none"/>
          <w:lang w:eastAsia="zh-CN"/>
        </w:rPr>
        <w:t xml:space="preserve">其他未列明行业</w:t>
      </w:r>
      <w:r>
        <w:rPr>
          <w:rFonts w:hint="eastAsia" w:hAnsi="宋体"/>
          <w:b/>
          <w:bCs/>
          <w:color w:val="auto"/>
          <w:sz w:val="21"/>
          <w:szCs w:val="21"/>
          <w:highlight w:val="none"/>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rPr>
        <w:t xml:space="preserve">3、</w:t>
      </w:r>
      <w:r>
        <w:rPr>
          <w:rFonts w:hint="eastAsia" w:hAnsi="宋体"/>
          <w:bCs/>
          <w:color w:val="auto"/>
          <w:sz w:val="21"/>
          <w:szCs w:val="21"/>
          <w:highlight w:val="none"/>
          <w:lang w:val="zh-CN"/>
        </w:rPr>
        <w:t xml:space="preserve">信用记录</w:t>
      </w:r>
      <w:r/>
    </w:p>
    <w:p>
      <w:pPr>
        <w:ind w:firstLine="505"/>
        <w:jc w:val="both"/>
        <w:spacing w:line="360" w:lineRule="auto"/>
        <w:rPr>
          <w:rFonts w:hAnsi="宋体"/>
          <w:color w:val="auto"/>
          <w:sz w:val="21"/>
          <w:szCs w:val="21"/>
          <w:highlight w:val="none"/>
          <w:lang w:val="zh-CN"/>
        </w:rPr>
      </w:pPr>
      <w:r>
        <w:rPr>
          <w:rFonts w:hint="eastAsia" w:hAnsi="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hAnsi="宋体"/>
          <w:color w:val="auto"/>
          <w:sz w:val="21"/>
          <w:szCs w:val="21"/>
          <w:highlight w:val="none"/>
          <w:lang w:val="zh-CN"/>
        </w:rPr>
        <w:t xml:space="preserve">，</w:t>
      </w:r>
      <w:r>
        <w:rPr>
          <w:rFonts w:hint="eastAsia" w:hAnsi="宋体"/>
          <w:color w:val="auto"/>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（1）查询截止时点：投标文件递交截止时间。</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（2）查询渠道：</w:t>
      </w:r>
      <w:r>
        <w:rPr>
          <w:rFonts w:hint="eastAsia" w:hAnsi="宋体"/>
          <w:color w:val="auto"/>
          <w:sz w:val="21"/>
          <w:szCs w:val="21"/>
          <w:highlight w:val="none"/>
          <w:lang w:val="zh-CN"/>
        </w:rPr>
        <w:t xml:space="preserve">通过“信用中国”网站、中国政府采购网等渠道查询相关主体信用记录。</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（3）查询证据留存方式：</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（4）信用记录使用规则：</w:t>
      </w:r>
      <w:r/>
    </w:p>
    <w:p>
      <w:pPr>
        <w:ind w:firstLine="480"/>
        <w:jc w:val="both"/>
        <w:spacing w:line="360" w:lineRule="auto"/>
        <w:rPr>
          <w:rFonts w:hAnsi="宋体"/>
          <w:bCs/>
          <w:color w:val="auto"/>
          <w:sz w:val="21"/>
          <w:szCs w:val="21"/>
          <w:highlight w:val="none"/>
          <w:lang w:val="zh-CN"/>
        </w:rPr>
      </w:pPr>
      <w:r>
        <w:rPr>
          <w:rFonts w:hint="eastAsia" w:hAnsi="宋体"/>
          <w:bCs/>
          <w:color w:val="auto"/>
          <w:sz w:val="21"/>
          <w:szCs w:val="21"/>
          <w:highlight w:val="none"/>
          <w:lang w:val="zh-CN"/>
        </w:rPr>
        <w:t xml:space="preserve">评审小组在对供应商进行资格性审查时，应根据查询结果对供应商的不良信用记录逐项甄别确认。</w:t>
      </w:r>
      <w:r/>
    </w:p>
    <w:p>
      <w:pPr>
        <w:ind w:firstLine="482"/>
        <w:jc w:val="both"/>
        <w:spacing w:line="360" w:lineRule="auto"/>
        <w:rPr>
          <w:rFonts w:hAnsi="宋体"/>
          <w:color w:val="auto"/>
          <w:sz w:val="21"/>
          <w:szCs w:val="21"/>
          <w:highlight w:val="none"/>
        </w:rPr>
      </w:pPr>
      <w:r>
        <w:rPr>
          <w:rFonts w:hint="eastAsia" w:hAnsi="宋体"/>
          <w:b/>
          <w:bCs/>
          <w:color w:val="auto"/>
          <w:sz w:val="21"/>
          <w:szCs w:val="21"/>
          <w:highlight w:val="none"/>
        </w:rPr>
        <w:t xml:space="preserve">若投标人提供的声明函或认定证明为虚假声明则视同提供虚假材料，按“政府采购法”相关规定处理并报请政府监管部门给予行政处罚。</w:t>
      </w:r>
      <w:bookmarkEnd w:id="10"/>
      <w:r/>
      <w:r/>
    </w:p>
    <w:p>
      <w:pPr>
        <w:ind w:firstLine="420"/>
        <w:jc w:val="both"/>
        <w:spacing w:line="360" w:lineRule="auto"/>
        <w:rPr>
          <w:rFonts w:hint="eastAsia" w:ascii="宋体" w:hAnsi="宋体" w:eastAsia="宋体" w:cs="宋体"/>
          <w:b/>
          <w:bCs/>
          <w:color w:val="auto"/>
          <w:sz w:val="21"/>
          <w:szCs w:val="21"/>
          <w:highlight w:val="none"/>
          <w:lang w:val="en-US" w:eastAsia="zh-CN"/>
        </w:rPr>
        <w:outlineLvl w:val="5"/>
      </w:pPr>
      <w:r/>
      <w:bookmarkStart w:id="13" w:name="_Toc159507038"/>
      <w:r>
        <w:rPr>
          <w:rFonts w:hint="eastAsia" w:ascii="宋体" w:hAnsi="宋体" w:eastAsia="宋体" w:cs="宋体"/>
          <w:b/>
          <w:bCs/>
          <w:color w:val="auto"/>
          <w:sz w:val="21"/>
          <w:szCs w:val="21"/>
          <w:highlight w:val="none"/>
          <w:lang w:val="en-US" w:eastAsia="zh-CN"/>
        </w:rPr>
        <w:t xml:space="preserve">4、关于推动解决政府采购异常低价问题相关工作的通知（苏财购〔2025〕62号）。</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rPr>
        <w:t xml:space="preserve">采购人应在采购文件中明确评审委员会启动异常低价投标（响应）审查的情形和具体要求，包括：</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lang w:val="en-US" w:eastAsia="zh-CN"/>
        </w:rPr>
        <w:t xml:space="preserve">4.1</w:t>
      </w:r>
      <w:r>
        <w:rPr>
          <w:rFonts w:hint="eastAsia" w:ascii="宋体" w:hAnsi="宋体" w:eastAsia="宋体" w:cs="宋体"/>
          <w:b w:val="0"/>
          <w:bCs w:val="0"/>
          <w:color w:val="auto"/>
          <w:sz w:val="21"/>
          <w:szCs w:val="21"/>
          <w:highlight w:val="none"/>
        </w:rPr>
        <w:t xml:space="preserve">评审过程中出现下列情形之一的，评审委员会应当启动异常低价投标（响应）审查程序：</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投标（响应）报价低于采购项目预算50%的，即投标（响应）报价&lt;采购项目预算×50%；</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投标（响应）报价低于采购项目最高限价45%的，即投标（响应）报价&lt;采购项目最高限价×45%；</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评审委员会认定的供应商报价过低、有可能影响产品质量或者不能诚信履约的其他情形。</w:t>
      </w:r>
      <w:r/>
    </w:p>
    <w:p>
      <w:pPr>
        <w:ind w:firstLine="420"/>
        <w:jc w:val="both"/>
        <w:spacing w:line="360" w:lineRule="auto"/>
        <w:rPr>
          <w:rFonts w:hint="eastAsia" w:ascii="宋体" w:hAnsi="宋体" w:eastAsia="宋体" w:cs="宋体"/>
          <w:b w:val="0"/>
          <w:bCs w:val="0"/>
          <w:color w:val="auto"/>
          <w:sz w:val="21"/>
          <w:szCs w:val="21"/>
          <w:highlight w:val="none"/>
        </w:rPr>
        <w:outlineLvl w:val="5"/>
      </w:pPr>
      <w:r>
        <w:rPr>
          <w:rFonts w:hint="eastAsia" w:ascii="宋体" w:hAnsi="宋体" w:eastAsia="宋体" w:cs="宋体"/>
          <w:b w:val="0"/>
          <w:bCs w:val="0"/>
          <w:color w:val="auto"/>
          <w:sz w:val="21"/>
          <w:szCs w:val="21"/>
          <w:highlight w:val="none"/>
          <w:lang w:val="en-US" w:eastAsia="zh-CN"/>
        </w:rPr>
        <w:t xml:space="preserve">4.2</w:t>
      </w:r>
      <w:r>
        <w:rPr>
          <w:rFonts w:hint="eastAsia" w:ascii="宋体" w:hAnsi="宋体" w:eastAsia="宋体" w:cs="宋体"/>
          <w:b w:val="0"/>
          <w:bCs w:val="0"/>
          <w:color w:val="auto"/>
          <w:sz w:val="21"/>
          <w:szCs w:val="21"/>
          <w:highlight w:val="none"/>
        </w:rPr>
        <w:t xml:space="preserve">启动异常低价投标（响应）审查后，评审委员会应当要求相关供应商在评标现场合理的时间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30分钟）</w:t>
      </w:r>
      <w:r>
        <w:rPr>
          <w:rFonts w:hint="eastAsia" w:ascii="宋体" w:hAnsi="宋体" w:eastAsia="宋体" w:cs="宋体"/>
          <w:b w:val="0"/>
          <w:bCs w:val="0"/>
          <w:color w:val="auto"/>
          <w:sz w:val="21"/>
          <w:szCs w:val="21"/>
          <w:highlight w:val="none"/>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360" w:lineRule="auto"/>
        <w:rPr>
          <w:rFonts w:hint="eastAsia" w:ascii="宋体" w:hAnsi="宋体" w:eastAsia="宋体" w:cs="宋体"/>
          <w:color w:val="auto"/>
          <w:sz w:val="21"/>
          <w:szCs w:val="21"/>
          <w:highlight w:val="none"/>
        </w:rPr>
        <w:outlineLvl w:val="5"/>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异常低价审查有关要求，均以苏财购〔2025〕62号为准。</w:t>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第四章 评分办法及评标标准</w:t>
      </w:r>
      <w:bookmarkEnd w:id="13"/>
      <w:r/>
      <w:r/>
    </w:p>
    <w:p>
      <w:pPr>
        <w:keepLines w:val="0"/>
        <w:keepNext w:val="0"/>
        <w:pageBreakBefore w:val="0"/>
        <w:spacing w:line="360" w:lineRule="auto"/>
        <w:rPr>
          <w:rFonts w:hAnsi="宋体"/>
          <w:b/>
          <w:bCs/>
          <w:color w:val="auto"/>
          <w:sz w:val="21"/>
          <w:szCs w:val="21"/>
          <w:highlight w:val="none"/>
        </w:rPr>
      </w:pPr>
      <w:r>
        <w:rPr>
          <w:rFonts w:hint="eastAsia" w:hAnsi="宋体"/>
          <w:b/>
          <w:bCs/>
          <w:color w:val="auto"/>
          <w:sz w:val="21"/>
          <w:szCs w:val="21"/>
          <w:highlight w:val="none"/>
        </w:rPr>
        <w:t xml:space="preserve">一、评标方法</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4、</w:t>
      </w:r>
      <w:bookmarkStart w:id="14" w:name="OLE_LINK27"/>
      <w:r/>
      <w:bookmarkStart w:id="15" w:name="OLE_LINK26"/>
      <w:r>
        <w:rPr>
          <w:rFonts w:hint="eastAsia" w:hAnsi="宋体"/>
          <w:color w:val="auto"/>
          <w:sz w:val="21"/>
          <w:szCs w:val="21"/>
          <w:highlight w:val="none"/>
        </w:rPr>
        <w:t xml:space="preserve">本项目专门面向中小企业采购的项目，不再执行价格评审优惠的扶持政策。</w:t>
      </w:r>
      <w:bookmarkEnd w:id="14"/>
      <w:r/>
      <w:bookmarkEnd w:id="15"/>
      <w:r>
        <w:rPr>
          <w:rFonts w:hint="eastAsia" w:hAnsi="宋体"/>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keepLines w:val="0"/>
        <w:keepNext w:val="0"/>
        <w:pageBreakBefore w:val="0"/>
        <w:spacing w:line="360" w:lineRule="auto"/>
        <w:rPr>
          <w:rFonts w:hAnsi="宋体"/>
          <w:color w:val="auto"/>
          <w:sz w:val="21"/>
          <w:szCs w:val="21"/>
          <w:highlight w:val="none"/>
        </w:rPr>
      </w:pPr>
      <w:r>
        <w:rPr>
          <w:rFonts w:hint="eastAsia" w:hAnsi="宋体"/>
          <w:b/>
          <w:bCs/>
          <w:color w:val="auto"/>
          <w:sz w:val="21"/>
          <w:szCs w:val="21"/>
          <w:highlight w:val="none"/>
        </w:rPr>
        <w:t xml:space="preserve">二、评分标准</w:t>
      </w:r>
      <w:r/>
    </w:p>
    <w:tbl>
      <w:tblPr>
        <w:tblStyle w:val="758"/>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731"/>
        <w:gridCol w:w="7619"/>
      </w:tblGrid>
      <w:tr>
        <w:trPr>
          <w:jc w:val="center"/>
          <w:trHeight w:val="515"/>
        </w:trPr>
        <w:tc>
          <w:tcPr>
            <w:gridSpan w:val="3"/>
            <w:tcW w:w="5000" w:type="pct"/>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 价格部分评分标准（</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0分）</w:t>
            </w:r>
            <w:r/>
          </w:p>
        </w:tc>
      </w:tr>
      <w:tr>
        <w:trPr>
          <w:jc w:val="center"/>
          <w:trHeight w:val="506"/>
        </w:trPr>
        <w:tc>
          <w:tcPr>
            <w:tcW w:w="66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W w:w="3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395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2646"/>
        </w:trPr>
        <w:tc>
          <w:tcPr>
            <w:tcW w:w="66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报价部分</w:t>
            </w:r>
            <w:r/>
          </w:p>
        </w:tc>
        <w:tc>
          <w:tcPr>
            <w:tcW w:w="379"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3951"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1、投标不超过预算金额的，为有效投标报价。超出此范围的投标报价为无效投标报价。无效投标报价的投标文件不进行评审，也不得标。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2、无效投标报价的投标文件不得</w:t>
            </w:r>
            <w:r>
              <w:rPr>
                <w:rFonts w:hint="eastAsia" w:hAnsi="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3、价格分应当采用低价优先法计算，即满足招标文件要求且投标评审价格最低的为基准价，其价格分为满分。其他投标人的价格分统一按照下列公式计算（计算结果四舍五入保留两位小数）：</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投标报价得分＝（基准价/投标评审价格）×价格权值×100；（价格权值为</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8"/>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781"/>
        <w:gridCol w:w="666"/>
        <w:gridCol w:w="6529"/>
      </w:tblGrid>
      <w:tr>
        <w:trPr>
          <w:cantSplit/>
          <w:jc w:val="center"/>
          <w:trHeight w:val="578"/>
        </w:trPr>
        <w:tc>
          <w:tcPr>
            <w:gridSpan w:val="4"/>
            <w:shd w:val="clear" w:color="auto" w:fill="auto"/>
            <w:tcW w:w="5000"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第二部分 技术商务部分评分标准（</w:t>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0分）</w:t>
            </w:r>
            <w:r/>
          </w:p>
        </w:tc>
      </w:tr>
      <w:tr>
        <w:trPr>
          <w:cantSplit/>
          <w:jc w:val="center"/>
          <w:trHeight w:val="563"/>
        </w:trPr>
        <w:tc>
          <w:tcPr>
            <w:shd w:val="clear" w:color="auto" w:fill="auto"/>
            <w:tcW w:w="369"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auto"/>
            <w:tcW w:w="918"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shd w:val="clear" w:color="auto" w:fill="auto"/>
            <w:tcW w:w="343"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shd w:val="clear" w:color="auto" w:fill="auto"/>
            <w:tcW w:w="3368"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cantSplit/>
          <w:jc w:val="center"/>
          <w:trHeight w:val="608"/>
        </w:trPr>
        <w:tc>
          <w:tcPr>
            <w:shd w:val="clear" w:color="auto" w:fill="auto"/>
            <w:tcW w:w="369"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3"/>
            <w:shd w:val="clear" w:color="auto" w:fill="auto"/>
            <w:tcW w:w="4630" w:type="pct"/>
            <w:vAlign w:val="center"/>
            <w:textDirection w:val="lrTb"/>
            <w:noWrap w:val="false"/>
          </w:tcPr>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项目理解及技术方案（</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分）</w:t>
            </w:r>
            <w:r/>
          </w:p>
        </w:tc>
      </w:tr>
      <w:tr>
        <w:trPr>
          <w:cantSplit/>
          <w:jc w:val="center"/>
          <w:trHeight w:val="0"/>
        </w:trPr>
        <w:tc>
          <w:tcPr>
            <w:shd w:val="clear" w:color="auto" w:fill="auto"/>
            <w:tcW w:w="36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91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实施方案</w:t>
            </w:r>
            <w:r/>
          </w:p>
        </w:tc>
        <w:tc>
          <w:tcPr>
            <w:shd w:val="clear" w:color="auto" w:fill="auto"/>
            <w:tcW w:w="34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shd w:val="clear" w:color="auto" w:fill="auto"/>
            <w:tcW w:w="3368" w:type="pct"/>
            <w:vAlign w:val="top"/>
            <w:textDirection w:val="lrTb"/>
            <w:noWrap w:val="false"/>
          </w:tcPr>
          <w:p>
            <w:pPr>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t xml:space="preserve">根据投标人针对本项目整体实施方案进行评分，方案内容至少包括</w:t>
            </w: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①资料核查②现场情况调查③地基基础检查④上部结构构件参数检测⑤建筑物整体倾斜检测⑥安全性分析及评定。方案内容完全针对本项目且符合本项目实际需求的得</w:t>
            </w:r>
            <w:r>
              <w:rPr>
                <w:rFonts w:hint="eastAsia" w:hAnsi="宋体"/>
                <w:color w:val="auto"/>
                <w:sz w:val="21"/>
                <w:szCs w:val="21"/>
                <w:highlight w:val="none"/>
                <w:lang w:val="en-US" w:eastAsia="zh-CN"/>
              </w:rPr>
              <w:t xml:space="preserve">18</w:t>
            </w:r>
            <w:r>
              <w:rPr>
                <w:rFonts w:hint="eastAsia" w:hAnsi="宋体"/>
                <w:color w:val="auto"/>
                <w:sz w:val="21"/>
                <w:szCs w:val="21"/>
                <w:highlight w:val="none"/>
              </w:rPr>
              <w:t xml:space="preserve">分，每缺少一项内容或内容非专门针对本项目或内容不能满足本项目实际需求的，每一项扣</w:t>
            </w: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分。</w:t>
            </w:r>
            <w:r/>
          </w:p>
        </w:tc>
      </w:tr>
      <w:tr>
        <w:trPr>
          <w:cantSplit/>
          <w:jc w:val="center"/>
          <w:trHeight w:val="0"/>
        </w:trPr>
        <w:tc>
          <w:tcPr>
            <w:shd w:val="clear" w:color="auto" w:fill="auto"/>
            <w:tcW w:w="36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W w:w="91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项目的工作进度</w:t>
            </w:r>
            <w:r>
              <w:rPr>
                <w:rFonts w:hint="eastAsia" w:hAnsi="宋体" w:cs="宋体"/>
                <w:color w:val="auto"/>
                <w:sz w:val="21"/>
                <w:szCs w:val="21"/>
                <w:highlight w:val="none"/>
                <w:lang w:eastAsia="zh-CN"/>
              </w:rPr>
              <w:t xml:space="preserve">保障措施</w:t>
            </w:r>
            <w:r>
              <w:rPr>
                <w:rFonts w:hint="eastAsia" w:ascii="宋体" w:hAnsi="宋体" w:eastAsia="宋体" w:cs="宋体"/>
                <w:color w:val="auto"/>
                <w:sz w:val="21"/>
                <w:szCs w:val="21"/>
                <w:highlight w:val="none"/>
              </w:rPr>
              <w:t xml:space="preserve">及质量</w:t>
            </w:r>
            <w:r>
              <w:rPr>
                <w:rFonts w:hint="eastAsia" w:hAnsi="宋体" w:cs="宋体"/>
                <w:color w:val="auto"/>
                <w:sz w:val="21"/>
                <w:szCs w:val="21"/>
                <w:highlight w:val="none"/>
                <w:lang w:eastAsia="zh-CN"/>
              </w:rPr>
              <w:t xml:space="preserve">保障措施</w:t>
            </w:r>
            <w:r/>
          </w:p>
        </w:tc>
        <w:tc>
          <w:tcPr>
            <w:shd w:val="clear" w:color="auto" w:fill="auto"/>
            <w:tcW w:w="34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9</w:t>
            </w:r>
            <w:r/>
          </w:p>
        </w:tc>
        <w:tc>
          <w:tcPr>
            <w:shd w:val="clear" w:color="auto" w:fill="auto"/>
            <w:tcW w:w="3368" w:type="pct"/>
            <w:vAlign w:val="center"/>
            <w:textDirection w:val="lrTb"/>
            <w:noWrap w:val="false"/>
          </w:tcPr>
          <w:p>
            <w:pPr>
              <w:keepLines w:val="0"/>
              <w:keepNext w:val="0"/>
              <w:pageBreakBefore w:val="0"/>
              <w:spacing w:line="360" w:lineRule="auto"/>
              <w:rPr>
                <w:rFonts w:hint="default" w:hAnsi="宋体"/>
                <w:color w:val="auto"/>
                <w:sz w:val="21"/>
                <w:szCs w:val="21"/>
                <w:highlight w:val="none"/>
                <w:lang w:val="en-US" w:eastAsia="zh-CN"/>
              </w:rPr>
            </w:pPr>
            <w:r>
              <w:rPr>
                <w:rFonts w:hint="eastAsia" w:hAnsi="宋体"/>
                <w:color w:val="auto"/>
                <w:sz w:val="21"/>
                <w:szCs w:val="21"/>
                <w:highlight w:val="none"/>
              </w:rPr>
              <w:t xml:space="preserve">根据投标人针对本项目提供</w:t>
            </w:r>
            <w:r>
              <w:rPr>
                <w:rFonts w:hint="eastAsia" w:hAnsi="宋体"/>
                <w:color w:val="auto"/>
                <w:sz w:val="21"/>
                <w:szCs w:val="21"/>
                <w:highlight w:val="none"/>
                <w:lang w:eastAsia="zh-CN"/>
              </w:rPr>
              <w:t xml:space="preserve">的</w:t>
            </w:r>
            <w:r>
              <w:rPr>
                <w:rFonts w:hint="eastAsia" w:hAnsi="宋体"/>
                <w:color w:val="auto"/>
                <w:sz w:val="21"/>
                <w:szCs w:val="21"/>
                <w:highlight w:val="none"/>
              </w:rPr>
              <w:t xml:space="preserve">项目的工作进度</w:t>
            </w:r>
            <w:r>
              <w:rPr>
                <w:rFonts w:hint="eastAsia" w:hAnsi="宋体"/>
                <w:color w:val="auto"/>
                <w:sz w:val="21"/>
                <w:szCs w:val="21"/>
                <w:highlight w:val="none"/>
                <w:lang w:eastAsia="zh-CN"/>
              </w:rPr>
              <w:t xml:space="preserve">保障措施</w:t>
            </w:r>
            <w:r>
              <w:rPr>
                <w:rFonts w:hint="eastAsia" w:hAnsi="宋体"/>
                <w:color w:val="auto"/>
                <w:sz w:val="21"/>
                <w:szCs w:val="21"/>
                <w:highlight w:val="none"/>
              </w:rPr>
              <w:t xml:space="preserve">及质量</w:t>
            </w:r>
            <w:r>
              <w:rPr>
                <w:rFonts w:hint="eastAsia" w:hAnsi="宋体"/>
                <w:color w:val="auto"/>
                <w:sz w:val="21"/>
                <w:szCs w:val="21"/>
                <w:highlight w:val="none"/>
                <w:lang w:eastAsia="zh-CN"/>
              </w:rPr>
              <w:t xml:space="preserve">保障措施</w:t>
            </w:r>
            <w:r>
              <w:rPr>
                <w:rFonts w:hint="eastAsia" w:hAnsi="宋体"/>
                <w:color w:val="auto"/>
                <w:sz w:val="21"/>
                <w:szCs w:val="21"/>
                <w:highlight w:val="none"/>
              </w:rPr>
              <w:t xml:space="preserve">方案进行评分，方案内容至少包括</w:t>
            </w: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①</w:t>
            </w:r>
            <w:r>
              <w:rPr>
                <w:rFonts w:hint="eastAsia" w:hAnsi="宋体"/>
                <w:color w:val="auto"/>
                <w:sz w:val="21"/>
                <w:szCs w:val="21"/>
                <w:highlight w:val="none"/>
                <w:lang w:val="en-US" w:eastAsia="zh-CN"/>
              </w:rPr>
              <w:t xml:space="preserve">项目</w:t>
            </w:r>
            <w:r>
              <w:rPr>
                <w:rFonts w:hint="eastAsia" w:hAnsi="宋体"/>
                <w:color w:val="auto"/>
                <w:sz w:val="21"/>
                <w:szCs w:val="21"/>
                <w:highlight w:val="none"/>
              </w:rPr>
              <w:t xml:space="preserve">进度计划②</w:t>
            </w:r>
            <w:r>
              <w:rPr>
                <w:rFonts w:hint="eastAsia" w:hAnsi="宋体"/>
                <w:color w:val="auto"/>
                <w:sz w:val="21"/>
                <w:szCs w:val="21"/>
                <w:highlight w:val="none"/>
                <w:lang w:val="en-US" w:eastAsia="zh-CN"/>
              </w:rPr>
              <w:t xml:space="preserve">项目进度保障措施</w:t>
            </w:r>
            <w:r>
              <w:rPr>
                <w:rFonts w:hint="eastAsia" w:hAnsi="宋体"/>
                <w:color w:val="auto"/>
                <w:sz w:val="21"/>
                <w:szCs w:val="21"/>
                <w:highlight w:val="none"/>
              </w:rPr>
              <w:t xml:space="preserve">③</w:t>
            </w:r>
            <w:r>
              <w:rPr>
                <w:rFonts w:hint="eastAsia" w:hAnsi="宋体"/>
                <w:color w:val="auto"/>
                <w:sz w:val="21"/>
                <w:szCs w:val="21"/>
                <w:highlight w:val="none"/>
                <w:lang w:val="en-US" w:eastAsia="zh-CN"/>
              </w:rPr>
              <w:t xml:space="preserve">项目的质量保障措施</w:t>
            </w:r>
            <w:r>
              <w:rPr>
                <w:rFonts w:hint="eastAsia" w:hAnsi="宋体"/>
                <w:color w:val="auto"/>
                <w:sz w:val="21"/>
                <w:szCs w:val="21"/>
                <w:highlight w:val="none"/>
              </w:rPr>
              <w:t xml:space="preserve">等描述和说明。方案内容完全针对本项目且符合本项目实际需求的得</w:t>
            </w:r>
            <w:r>
              <w:rPr>
                <w:rFonts w:hint="eastAsia" w:hAnsi="宋体"/>
                <w:color w:val="auto"/>
                <w:sz w:val="21"/>
                <w:szCs w:val="21"/>
                <w:highlight w:val="none"/>
                <w:lang w:val="en-US" w:eastAsia="zh-CN"/>
              </w:rPr>
              <w:t xml:space="preserve">9</w:t>
            </w:r>
            <w:r>
              <w:rPr>
                <w:rFonts w:hint="eastAsia" w:hAnsi="宋体"/>
                <w:color w:val="auto"/>
                <w:sz w:val="21"/>
                <w:szCs w:val="21"/>
                <w:highlight w:val="none"/>
              </w:rPr>
              <w:t xml:space="preserve">分，每缺少一项内容或内容非专门针对本项目或内容不能满足本项目实际需求的，每一项扣3分。</w:t>
            </w:r>
            <w:r/>
          </w:p>
        </w:tc>
      </w:tr>
      <w:tr>
        <w:trPr>
          <w:cantSplit/>
          <w:jc w:val="center"/>
          <w:trHeight w:val="0"/>
        </w:trPr>
        <w:tc>
          <w:tcPr>
            <w:shd w:val="clear" w:color="auto" w:fill="auto"/>
            <w:tcW w:w="36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shd w:val="clear" w:color="auto" w:fill="auto"/>
            <w:tcW w:w="91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安全</w:t>
            </w:r>
            <w:r>
              <w:rPr>
                <w:rFonts w:hint="eastAsia" w:hAnsi="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lang w:val="en-US" w:eastAsia="zh-CN"/>
              </w:rPr>
              <w:t xml:space="preserve">措施</w:t>
            </w:r>
            <w:r/>
          </w:p>
        </w:tc>
        <w:tc>
          <w:tcPr>
            <w:shd w:val="clear" w:color="auto" w:fill="auto"/>
            <w:tcW w:w="34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9</w:t>
            </w:r>
            <w:r/>
          </w:p>
        </w:tc>
        <w:tc>
          <w:tcPr>
            <w:shd w:val="clear" w:color="auto" w:fill="auto"/>
            <w:tcW w:w="3368" w:type="pct"/>
            <w:vAlign w:val="top"/>
            <w:textDirection w:val="lrTb"/>
            <w:noWrap w:val="false"/>
          </w:tcPr>
          <w:p>
            <w:pPr>
              <w:keepLines w:val="0"/>
              <w:keepNext w:val="0"/>
              <w:pageBreakBefore w:val="0"/>
              <w:spacing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根据投标人针对本项目提供的项目的安全保障措施方案进行评分，</w:t>
            </w:r>
            <w:r>
              <w:rPr>
                <w:rFonts w:hint="eastAsia" w:hAnsi="宋体"/>
                <w:color w:val="auto"/>
                <w:sz w:val="21"/>
                <w:szCs w:val="21"/>
                <w:highlight w:val="none"/>
              </w:rPr>
              <w:t xml:space="preserve">方案内容至少包括</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①安全管理措施②安全文明保障措施③安全应急预案。</w:t>
            </w:r>
            <w:r>
              <w:rPr>
                <w:rFonts w:hint="eastAsia" w:hAnsi="宋体"/>
                <w:color w:val="auto"/>
                <w:sz w:val="21"/>
                <w:szCs w:val="21"/>
                <w:highlight w:val="none"/>
              </w:rPr>
              <w:t xml:space="preserve">方案内容完全针对本项目且符合本项目实际需求的得</w:t>
            </w:r>
            <w:r>
              <w:rPr>
                <w:rFonts w:hint="eastAsia" w:hAnsi="宋体"/>
                <w:color w:val="auto"/>
                <w:sz w:val="21"/>
                <w:szCs w:val="21"/>
                <w:highlight w:val="none"/>
                <w:lang w:val="en-US" w:eastAsia="zh-CN"/>
              </w:rPr>
              <w:t xml:space="preserve">9</w:t>
            </w:r>
            <w:r>
              <w:rPr>
                <w:rFonts w:hint="eastAsia" w:hAnsi="宋体"/>
                <w:color w:val="auto"/>
                <w:sz w:val="21"/>
                <w:szCs w:val="21"/>
                <w:highlight w:val="none"/>
              </w:rPr>
              <w:t xml:space="preserve">分，每缺少一项内容或内容非专门针对本项目或内容不能满足本项目实际需求的，每一项扣3分。</w:t>
            </w:r>
            <w:r/>
          </w:p>
        </w:tc>
      </w:tr>
      <w:tr>
        <w:trPr>
          <w:cantSplit/>
          <w:jc w:val="center"/>
          <w:trHeight w:val="0"/>
        </w:trPr>
        <w:tc>
          <w:tcPr>
            <w:shd w:val="clear" w:color="auto" w:fill="auto"/>
            <w:tcW w:w="36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shd w:val="clear" w:color="auto" w:fill="auto"/>
            <w:tcW w:w="91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后续服务计划及</w:t>
            </w:r>
            <w:r>
              <w:rPr>
                <w:rFonts w:hint="eastAsia" w:hAnsi="宋体" w:cs="宋体"/>
                <w:color w:val="auto"/>
                <w:sz w:val="21"/>
                <w:szCs w:val="21"/>
                <w:highlight w:val="none"/>
                <w:lang w:val="en-US" w:eastAsia="zh-CN"/>
              </w:rPr>
              <w:t xml:space="preserve">保障措施</w:t>
            </w:r>
            <w:r/>
          </w:p>
        </w:tc>
        <w:tc>
          <w:tcPr>
            <w:shd w:val="clear" w:color="auto" w:fill="auto"/>
            <w:tcW w:w="3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9</w:t>
            </w:r>
            <w:r/>
          </w:p>
        </w:tc>
        <w:tc>
          <w:tcPr>
            <w:shd w:val="clear" w:color="auto" w:fill="auto"/>
            <w:tcW w:w="3368" w:type="pct"/>
            <w:vAlign w:val="top"/>
            <w:textDirection w:val="lrTb"/>
            <w:noWrap w:val="false"/>
          </w:tcPr>
          <w:p>
            <w:pPr>
              <w:keepLines w:val="0"/>
              <w:keepNext w:val="0"/>
              <w:pageBreakBefore w:val="0"/>
              <w:spacing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根据投标人针对本项目提供的后续服务计划及保障措施方案进行评分，</w:t>
            </w:r>
            <w:r>
              <w:rPr>
                <w:rFonts w:hint="eastAsia" w:hAnsi="宋体"/>
                <w:color w:val="auto"/>
                <w:sz w:val="21"/>
                <w:szCs w:val="21"/>
                <w:highlight w:val="none"/>
              </w:rPr>
              <w:t xml:space="preserve">方案内容至少包括</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①后续服务内容②服务响应③后续服务保障措施。</w:t>
            </w:r>
            <w:r>
              <w:rPr>
                <w:rFonts w:hint="eastAsia" w:hAnsi="宋体"/>
                <w:color w:val="auto"/>
                <w:sz w:val="21"/>
                <w:szCs w:val="21"/>
                <w:highlight w:val="none"/>
              </w:rPr>
              <w:t xml:space="preserve">方案内容完全针对本项目且符合本项目实际需求的得</w:t>
            </w:r>
            <w:r>
              <w:rPr>
                <w:rFonts w:hint="eastAsia" w:hAnsi="宋体"/>
                <w:color w:val="auto"/>
                <w:sz w:val="21"/>
                <w:szCs w:val="21"/>
                <w:highlight w:val="none"/>
                <w:lang w:val="en-US" w:eastAsia="zh-CN"/>
              </w:rPr>
              <w:t xml:space="preserve">9</w:t>
            </w:r>
            <w:r>
              <w:rPr>
                <w:rFonts w:hint="eastAsia" w:hAnsi="宋体"/>
                <w:color w:val="auto"/>
                <w:sz w:val="21"/>
                <w:szCs w:val="21"/>
                <w:highlight w:val="none"/>
              </w:rPr>
              <w:t xml:space="preserve">分，每缺少一项内容或内容非专门针对本项目或内容不能满足本项目实际需求的，每一项扣3分。</w:t>
            </w:r>
            <w:r/>
          </w:p>
        </w:tc>
      </w:tr>
      <w:tr>
        <w:trPr>
          <w:cantSplit/>
          <w:jc w:val="center"/>
          <w:trHeight w:val="0"/>
        </w:trPr>
        <w:tc>
          <w:tcPr>
            <w:shd w:val="clear" w:color="auto" w:fill="auto"/>
            <w:tcW w:w="369"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二</w:t>
            </w:r>
            <w:r/>
          </w:p>
        </w:tc>
        <w:tc>
          <w:tcPr>
            <w:gridSpan w:val="3"/>
            <w:shd w:val="clear" w:color="auto" w:fill="auto"/>
            <w:tcW w:w="4630" w:type="pct"/>
            <w:vAlign w:val="center"/>
            <w:textDirection w:val="lrTb"/>
            <w:noWrap w:val="false"/>
          </w:tcPr>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项目服务能力（</w:t>
            </w:r>
            <w:r>
              <w:rPr>
                <w:rFonts w:hint="eastAsia" w:ascii="宋体" w:hAnsi="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分）</w:t>
            </w:r>
            <w:r/>
          </w:p>
        </w:tc>
      </w:tr>
      <w:tr>
        <w:trPr>
          <w:cantSplit/>
          <w:jc w:val="center"/>
          <w:trHeight w:val="0"/>
        </w:trPr>
        <w:tc>
          <w:tcPr>
            <w:shd w:val="clear" w:color="auto" w:fill="auto"/>
            <w:tcW w:w="369"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p>
        </w:tc>
        <w:tc>
          <w:tcPr>
            <w:shd w:val="clear" w:color="auto" w:fill="auto"/>
            <w:tcW w:w="918"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拟投入服务人员</w:t>
            </w:r>
            <w:r/>
          </w:p>
        </w:tc>
        <w:tc>
          <w:tcPr>
            <w:shd w:val="clear" w:color="auto" w:fill="auto"/>
            <w:tcW w:w="343" w:type="pct"/>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（1）项目负责人专业：</w:t>
            </w:r>
            <w:r>
              <w:rPr>
                <w:rFonts w:hint="eastAsia" w:hAnsi="宋体" w:cs="宋体"/>
                <w:color w:val="auto"/>
                <w:sz w:val="21"/>
                <w:szCs w:val="21"/>
                <w:highlight w:val="none"/>
                <w:lang w:val="en-US" w:eastAsia="zh-CN"/>
              </w:rPr>
              <w:t xml:space="preserve">工程类本科及以上学历的</w:t>
            </w:r>
            <w:r>
              <w:rPr>
                <w:rFonts w:hint="eastAsia" w:ascii="宋体" w:hAnsi="宋体" w:eastAsia="宋体" w:cs="宋体"/>
                <w:color w:val="auto"/>
                <w:sz w:val="21"/>
                <w:szCs w:val="21"/>
                <w:highlight w:val="none"/>
                <w:lang w:val="en-US" w:eastAsia="zh-CN"/>
              </w:rPr>
              <w:t xml:space="preserve">得</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分。（须提供全日制本科毕业证书</w:t>
            </w:r>
            <w:r>
              <w:rPr>
                <w:rFonts w:hint="eastAsia" w:hAnsi="宋体" w:cs="宋体"/>
                <w:color w:val="auto"/>
                <w:sz w:val="21"/>
                <w:szCs w:val="21"/>
                <w:highlight w:val="none"/>
                <w:lang w:val="en-US" w:eastAsia="zh-CN"/>
              </w:rPr>
              <w:t xml:space="preserve">扫描件等证明材料</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（2）项目负责人职称：具有</w:t>
            </w:r>
            <w:r>
              <w:rPr>
                <w:rFonts w:hint="eastAsia" w:ascii="宋体" w:hAnsi="宋体" w:cs="宋体"/>
                <w:b w:val="0"/>
                <w:bCs w:val="0"/>
                <w:color w:val="auto"/>
                <w:sz w:val="21"/>
                <w:szCs w:val="21"/>
                <w:highlight w:val="none"/>
              </w:rPr>
              <w:t xml:space="preserve">工程类</w:t>
            </w:r>
            <w:r>
              <w:rPr>
                <w:rFonts w:hint="eastAsia" w:ascii="宋体" w:hAnsi="宋体" w:eastAsia="宋体" w:cs="宋体"/>
                <w:color w:val="auto"/>
                <w:sz w:val="21"/>
                <w:szCs w:val="21"/>
                <w:highlight w:val="none"/>
                <w:lang w:val="en-US" w:eastAsia="zh-CN"/>
              </w:rPr>
              <w:t xml:space="preserve">高级工程师及以上职称得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val="0"/>
                <w:bCs w:val="0"/>
                <w:color w:val="auto"/>
                <w:sz w:val="21"/>
                <w:szCs w:val="21"/>
                <w:highlight w:val="none"/>
              </w:rPr>
              <w:t xml:space="preserve">工程类</w:t>
            </w:r>
            <w:r>
              <w:rPr>
                <w:rFonts w:hint="eastAsia" w:ascii="宋体" w:hAnsi="宋体" w:eastAsia="宋体" w:cs="宋体"/>
                <w:color w:val="auto"/>
                <w:sz w:val="21"/>
                <w:szCs w:val="21"/>
                <w:highlight w:val="none"/>
                <w:lang w:val="en-US" w:eastAsia="zh-CN"/>
              </w:rPr>
              <w:t xml:space="preserve">中级职称的得1分。（须提供最高职称证证书</w:t>
            </w:r>
            <w:r>
              <w:rPr>
                <w:rFonts w:hint="eastAsia" w:hAnsi="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en-US" w:eastAsia="zh-CN"/>
              </w:rPr>
              <w:t xml:space="preserve">件）</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（3）项目负责人职</w:t>
            </w:r>
            <w:r>
              <w:rPr>
                <w:rFonts w:hint="eastAsia" w:hAnsi="宋体" w:cs="宋体"/>
                <w:color w:val="auto"/>
                <w:sz w:val="21"/>
                <w:szCs w:val="21"/>
                <w:highlight w:val="none"/>
                <w:lang w:val="en-US" w:eastAsia="zh-CN"/>
              </w:rPr>
              <w:t xml:space="preserve">执业</w:t>
            </w:r>
            <w:r>
              <w:rPr>
                <w:rFonts w:hint="eastAsia" w:ascii="宋体" w:hAnsi="宋体" w:eastAsia="宋体" w:cs="宋体"/>
                <w:color w:val="auto"/>
                <w:sz w:val="21"/>
                <w:szCs w:val="21"/>
                <w:highlight w:val="none"/>
                <w:lang w:val="en-US" w:eastAsia="zh-CN"/>
              </w:rPr>
              <w:t xml:space="preserve">能力：具有国家一级注册结构工程师证书的得</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分。（提供相关证书</w:t>
            </w:r>
            <w:r>
              <w:rPr>
                <w:rFonts w:hint="eastAsia" w:hAnsi="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en-US" w:eastAsia="zh-CN"/>
              </w:rPr>
              <w:t xml:space="preserve">件）</w:t>
            </w:r>
            <w:r/>
          </w:p>
        </w:tc>
      </w:tr>
      <w:tr>
        <w:trPr>
          <w:cantSplit/>
          <w:jc w:val="center"/>
          <w:trHeight w:val="0"/>
        </w:trPr>
        <w:tc>
          <w:tcPr>
            <w:shd w:val="clear" w:color="auto" w:fill="auto"/>
            <w:tcW w:w="369"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918" w:type="pct"/>
            <w:vAlign w:val="center"/>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43" w:type="pct"/>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项目技术负责人：</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具有国家一级注册结构工程师证书的得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具有国家注册测绘师证书的得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分。（提供相关证书</w:t>
            </w:r>
            <w:r>
              <w:rPr>
                <w:rFonts w:hint="eastAsia" w:hAnsi="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en-US" w:eastAsia="zh-CN"/>
              </w:rPr>
              <w:t xml:space="preserve">件）</w:t>
            </w:r>
            <w:r/>
          </w:p>
        </w:tc>
      </w:tr>
      <w:tr>
        <w:trPr>
          <w:cantSplit/>
          <w:jc w:val="center"/>
          <w:trHeight w:val="0"/>
        </w:trPr>
        <w:tc>
          <w:tcPr>
            <w:shd w:val="clear" w:color="auto" w:fill="auto"/>
            <w:tcW w:w="369"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918" w:type="pct"/>
            <w:vAlign w:val="center"/>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4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拟投入项目主要检测人员（不包含项目负责人、技术负责人，主要检测人员如存在一人多证情形，不重复计分）：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拟投入本项目主要检测人员中具有工程类高级工程师</w:t>
            </w:r>
            <w:r>
              <w:rPr>
                <w:rFonts w:hint="eastAsia" w:ascii="宋体" w:hAnsi="宋体" w:eastAsia="宋体" w:cs="宋体"/>
                <w:color w:val="auto"/>
                <w:sz w:val="21"/>
                <w:szCs w:val="21"/>
                <w:highlight w:val="none"/>
                <w:lang w:val="en-US" w:eastAsia="zh-CN"/>
              </w:rPr>
              <w:t xml:space="preserve">及以上</w:t>
            </w:r>
            <w:r>
              <w:rPr>
                <w:rFonts w:hint="eastAsia" w:ascii="宋体" w:hAnsi="宋体" w:cs="宋体"/>
                <w:b w:val="0"/>
                <w:bCs w:val="0"/>
                <w:color w:val="auto"/>
                <w:sz w:val="21"/>
                <w:szCs w:val="21"/>
                <w:highlight w:val="none"/>
              </w:rPr>
              <w:t xml:space="preserve">职称的，每具有一个得</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分，最高</w:t>
            </w:r>
            <w:r>
              <w:rPr>
                <w:rFonts w:hint="eastAsia" w:ascii="宋体" w:hAnsi="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（提供相关证书</w:t>
            </w:r>
            <w:r>
              <w:rPr>
                <w:rFonts w:hint="eastAsia" w:hAnsi="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en-US" w:eastAsia="zh-CN"/>
              </w:rPr>
              <w:t xml:space="preserve">件）</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拟投入本项目主要检测人员中具有一级注册结构工程师证书的，每具有一个得</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分，最高</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。（提供相关证书</w:t>
            </w:r>
            <w:r>
              <w:rPr>
                <w:rFonts w:hint="eastAsia" w:hAnsi="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en-US" w:eastAsia="zh-CN"/>
              </w:rPr>
              <w:t xml:space="preserve">件）</w:t>
            </w:r>
            <w:r/>
          </w:p>
        </w:tc>
      </w:tr>
      <w:tr>
        <w:trPr>
          <w:cantSplit/>
          <w:jc w:val="center"/>
          <w:trHeight w:val="0"/>
        </w:trPr>
        <w:tc>
          <w:tcPr>
            <w:shd w:val="clear" w:color="auto" w:fill="auto"/>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三</w:t>
            </w:r>
            <w:r/>
          </w:p>
        </w:tc>
        <w:tc>
          <w:tcPr>
            <w:gridSpan w:val="3"/>
            <w:shd w:val="clear" w:color="auto" w:fill="auto"/>
            <w:tcBorders>
              <w:top w:val="single" w:color="auto" w:sz="4" w:space="0"/>
              <w:left w:val="single" w:color="auto" w:sz="4" w:space="0"/>
              <w:bottom w:val="single" w:color="auto" w:sz="4" w:space="0"/>
              <w:right w:val="single" w:color="auto" w:sz="4" w:space="0"/>
            </w:tcBorders>
            <w:tcW w:w="4630" w:type="pct"/>
            <w:vAlign w:val="center"/>
            <w:textDirection w:val="lrTb"/>
            <w:noWrap w:val="false"/>
          </w:tcPr>
          <w:p>
            <w:pP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履约能力(</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r>
      <w:tr>
        <w:trPr>
          <w:cantSplit/>
          <w:jc w:val="center"/>
          <w:trHeight w:val="0"/>
        </w:trPr>
        <w:tc>
          <w:tcPr>
            <w:shd w:val="clear" w:color="auto" w:fill="auto"/>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368"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lang w:val="en-US" w:eastAsia="zh-CN"/>
              </w:rPr>
              <w:t xml:space="preserve">具有自2022年1月1日（以合同签订日期为准）以来独立承担的类似项目业绩，每提供一份得2分，最高得8分。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注：提供合同扫描件，未按要求提供或提供不全不得分。</w:t>
            </w:r>
            <w:r/>
          </w:p>
        </w:tc>
      </w:tr>
    </w:tbl>
    <w:p>
      <w:pPr>
        <w:pStyle w:val="965"/>
        <w:keepLines w:val="0"/>
        <w:keepNext w:val="0"/>
        <w:pageBreakBefore w:val="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65"/>
        <w:keepLines w:val="0"/>
        <w:keepNext w:val="0"/>
        <w:pageBreakBefore w:val="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注：1、报价要求、付款步骤、合同履行期限如有负偏离的不得中标。</w:t>
      </w:r>
      <w:r/>
    </w:p>
    <w:p>
      <w:pPr>
        <w:ind w:firstLine="422"/>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3、所有要求提供的扫描件字迹须清晰可见，扫描不全或字迹不清晰的，视为未提供。</w:t>
      </w:r>
      <w:r/>
    </w:p>
    <w:p>
      <w:pPr>
        <w:ind w:firstLine="422"/>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4、防止虚假应标，招标单位保留调查的权利，并由此引发的一切调查与诉讼费用由投标方承担。</w:t>
      </w:r>
      <w:r/>
    </w:p>
    <w:p>
      <w:pPr>
        <w:ind w:firstLine="422"/>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rPr>
          <w:rFonts w:hAnsi="宋体"/>
          <w:b/>
          <w:bCs/>
          <w:color w:val="auto"/>
          <w:sz w:val="32"/>
          <w:szCs w:val="32"/>
          <w:highlight w:val="none"/>
        </w:rPr>
        <w:outlineLvl w:val="0"/>
      </w:pPr>
      <w:r/>
      <w:bookmarkStart w:id="16" w:name="_Toc159507039"/>
      <w:r/>
      <w:r/>
    </w:p>
    <w:p>
      <w:pPr>
        <w:rPr>
          <w:rFonts w:hint="eastAsia" w:hAnsi="宋体"/>
          <w:b/>
          <w:bCs/>
          <w:color w:val="auto"/>
          <w:sz w:val="32"/>
          <w:szCs w:val="32"/>
          <w:highlight w:val="none"/>
        </w:rPr>
      </w:pPr>
      <w:r>
        <w:rPr>
          <w:rFonts w:hint="eastAsia" w:hAnsi="宋体"/>
          <w:b/>
          <w:bCs/>
          <w:color w:val="auto"/>
          <w:sz w:val="32"/>
          <w:szCs w:val="32"/>
          <w:highlight w:val="none"/>
        </w:rPr>
        <w:br w:type="page" w:clear="all"/>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16"/>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76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76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76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76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76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76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b/>
          <w:bCs/>
          <w:color w:val="auto"/>
          <w:sz w:val="44"/>
          <w:szCs w:val="44"/>
          <w:highlight w:val="none"/>
        </w:rPr>
      </w:pPr>
      <w:r/>
      <w:bookmarkStart w:id="17" w:name="_Toc430265233"/>
      <w:r/>
      <w:bookmarkStart w:id="18" w:name="_Toc322442932"/>
      <w:r/>
      <w:bookmarkStart w:id="19" w:name="_Toc405288080"/>
      <w:r/>
      <w:bookmarkStart w:id="20" w:name="_Toc467507044"/>
      <w:r/>
      <w:bookmarkStart w:id="21" w:name="_Toc467507054"/>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投标文件</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太仓市明德高级中学</w:t>
      </w:r>
      <w:r/>
    </w:p>
    <w:p>
      <w:pPr>
        <w:pStyle w:val="764"/>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太仓市明德高级中学房屋安全鉴定服务</w:t>
      </w:r>
      <w:r/>
    </w:p>
    <w:p>
      <w:pPr>
        <w:pStyle w:val="764"/>
        <w:ind w:left="0"/>
        <w:jc w:val="both"/>
        <w:spacing w:before="0" w:line="360" w:lineRule="auto"/>
        <w:rPr>
          <w:rFonts w:hAnsi="宋体"/>
          <w:color w:val="auto"/>
          <w:sz w:val="32"/>
          <w:szCs w:val="32"/>
          <w:highlight w:val="none"/>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JSZC-320585-ZFXM-G2025-0031</w:t>
      </w:r>
      <w:r>
        <w:rPr>
          <w:rFonts w:hint="eastAsia" w:hAnsi="宋体"/>
          <w:color w:val="auto"/>
          <w:sz w:val="32"/>
          <w:szCs w:val="32"/>
          <w:highlight w:val="none"/>
        </w:rPr>
        <w:t xml:space="preserve"> </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b/>
          <w:bCs/>
          <w:color w:val="auto"/>
          <w:sz w:val="36"/>
          <w:szCs w:val="36"/>
          <w:highlight w:val="none"/>
          <w:u w:val="single"/>
        </w:rPr>
      </w:pPr>
      <w:r>
        <w:rPr>
          <w:rFonts w:hint="eastAsia" w:hAnsi="宋体"/>
          <w:b/>
          <w:bCs/>
          <w:color w:val="auto"/>
          <w:sz w:val="36"/>
          <w:szCs w:val="36"/>
          <w:highlight w:val="none"/>
        </w:rPr>
        <w:t xml:space="preserve">投标人</w:t>
      </w:r>
      <w:r>
        <w:rPr>
          <w:rFonts w:hAnsi="宋体"/>
          <w:color w:val="auto"/>
          <w:sz w:val="24"/>
          <w:szCs w:val="24"/>
          <w:highlight w:val="none"/>
        </w:rPr>
        <w:t xml:space="preserve">(</w:t>
      </w:r>
      <w:r>
        <w:rPr>
          <w:rFonts w:hint="eastAsia" w:hAnsi="宋体"/>
          <w:color w:val="auto"/>
          <w:sz w:val="24"/>
          <w:szCs w:val="24"/>
          <w:highlight w:val="none"/>
        </w:rPr>
        <w:t xml:space="preserve">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764"/>
        <w:ind w:left="0"/>
        <w:jc w:val="both"/>
        <w:spacing w:before="0" w:line="360" w:lineRule="auto"/>
        <w:rPr>
          <w:rFonts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Ansi="宋体"/>
          <w:color w:val="auto"/>
          <w:sz w:val="24"/>
          <w:szCs w:val="24"/>
          <w:highlight w:val="none"/>
        </w:rPr>
        <w:t xml:space="preserve">(</w:t>
      </w:r>
      <w:r>
        <w:rPr>
          <w:rFonts w:hint="eastAsia" w:hAnsi="宋体"/>
          <w:color w:val="auto"/>
          <w:sz w:val="24"/>
          <w:szCs w:val="24"/>
          <w:highlight w:val="none"/>
        </w:rPr>
        <w:t xml:space="preserve">签字或盖章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both"/>
        <w:spacing w:before="0" w:line="360" w:lineRule="auto"/>
        <w:rPr>
          <w:rFonts w:hAnsi="宋体"/>
          <w:color w:val="auto"/>
          <w:sz w:val="21"/>
          <w:highlight w:val="none"/>
        </w:rPr>
      </w:pPr>
      <w:r>
        <w:rPr>
          <w:rFonts w:hAnsi="宋体"/>
          <w:color w:val="auto"/>
          <w:sz w:val="21"/>
          <w:highlight w:val="none"/>
        </w:rPr>
      </w:r>
      <w:r/>
    </w:p>
    <w:p>
      <w:pPr>
        <w:pStyle w:val="764"/>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764"/>
        <w:ind w:left="0"/>
        <w:jc w:val="center"/>
        <w:spacing w:before="0" w:line="360" w:lineRule="auto"/>
        <w:rPr>
          <w:rFonts w:hAnsi="宋体" w:cs="宋体"/>
          <w:b/>
          <w:bCs/>
          <w:color w:val="auto"/>
          <w:sz w:val="24"/>
          <w:szCs w:val="24"/>
          <w:highlight w:val="none"/>
        </w:rPr>
      </w:pPr>
      <w:r>
        <w:rPr>
          <w:rFonts w:hAnsi="宋体" w:cs="宋体"/>
          <w:b/>
          <w:bCs/>
          <w:color w:val="auto"/>
          <w:sz w:val="24"/>
          <w:szCs w:val="24"/>
          <w:highlight w:val="none"/>
        </w:rPr>
      </w:r>
      <w:r/>
    </w:p>
    <w:p>
      <w:pPr>
        <w:rPr>
          <w:rFonts w:hint="eastAsia" w:hAnsi="宋体"/>
          <w:b/>
          <w:bCs/>
          <w:color w:val="auto"/>
          <w:sz w:val="21"/>
          <w:szCs w:val="21"/>
          <w:highlight w:val="none"/>
        </w:rPr>
      </w:pPr>
      <w:r>
        <w:rPr>
          <w:rFonts w:hint="eastAsia" w:hAnsi="宋体"/>
          <w:b/>
          <w:bCs/>
          <w:color w:val="auto"/>
          <w:sz w:val="21"/>
          <w:szCs w:val="21"/>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950"/>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50"/>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58"/>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121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contextualSpacing/>
        <w:ind w:firstLine="478"/>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应包括完成该项工作所需全部服务和货物的检验检测、鉴定费、知识产权、耗材、交通、通讯、设备、工具、各种税费、人工、保险、劳保、修补、维护、利润、税金、社保、政策性文件规定及合同包含的所有风险、责任等各项应有费用。供应商应将所有费用在合同实施期间因市场变化因素而变动进行调整的情况包含在内，采购单位不再为此承担任何费用和责任，除非因特殊原因并经双方协商同意，供应商不得再要求追加任何费用。同时，除非合同条款中另有规定，否则，</w:t>
      </w:r>
      <w:r>
        <w:rPr>
          <w:rFonts w:hint="eastAsia" w:hAnsi="宋体" w:cs="宋体"/>
          <w:color w:val="auto"/>
          <w:sz w:val="21"/>
          <w:szCs w:val="21"/>
          <w:highlight w:val="none"/>
          <w:lang w:val="zh-CN"/>
        </w:rPr>
        <w:t xml:space="preserve">投标单位所报价格在合同实施期间不因市场变化因素而变动</w:t>
      </w:r>
      <w:r>
        <w:rPr>
          <w:rFonts w:hint="eastAsia" w:ascii="宋体" w:hAnsi="宋体" w:cs="宋体"/>
          <w:color w:val="auto"/>
          <w:sz w:val="21"/>
          <w:szCs w:val="21"/>
          <w:highlight w:val="none"/>
          <w:lang w:val="zh-CN"/>
        </w:rPr>
        <w:t xml:space="preserve">。</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38"/>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1052"/>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pStyle w:val="765"/>
        <w:ind w:firstLine="50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765"/>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758"/>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243"/>
        <w:gridCol w:w="1172"/>
        <w:gridCol w:w="1017"/>
        <w:gridCol w:w="1493"/>
        <w:gridCol w:w="1612"/>
        <w:gridCol w:w="1108"/>
      </w:tblGrid>
      <w:tr>
        <w:trPr>
          <w:jc w:val="center"/>
          <w:trHeight w:val="29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24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小计（元）</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362"/>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07"/>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382"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w:t>
      </w:r>
      <w:r>
        <w:rPr>
          <w:rFonts w:hint="eastAsia" w:cs="宋体"/>
          <w:b/>
          <w:bCs/>
          <w:color w:val="auto"/>
          <w:sz w:val="21"/>
          <w:szCs w:val="21"/>
          <w:highlight w:val="none"/>
        </w:rPr>
        <w:t xml:space="preserve">须按上表中的格式及要求报价</w:t>
      </w:r>
      <w:r>
        <w:rPr>
          <w:rFonts w:hint="eastAsia" w:cs="宋体"/>
          <w:color w:val="auto"/>
          <w:sz w:val="21"/>
          <w:szCs w:val="21"/>
          <w:highlight w:val="none"/>
        </w:rPr>
        <w:t xml:space="preserve">；</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789"/>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widowControl w:val="off"/>
        <w:rPr>
          <w:b/>
          <w:color w:val="auto"/>
          <w:sz w:val="44"/>
          <w:szCs w:val="44"/>
          <w:highlight w:val="none"/>
        </w:rPr>
      </w:pPr>
      <w:r>
        <w:rPr>
          <w:b/>
          <w:color w:val="auto"/>
          <w:sz w:val="44"/>
          <w:szCs w:val="44"/>
          <w:highlight w:val="none"/>
        </w:rPr>
      </w:r>
      <w:r/>
    </w:p>
    <w:p>
      <w:pPr>
        <w:pStyle w:val="766"/>
        <w:rPr>
          <w:b/>
          <w:bCs/>
          <w:color w:val="auto"/>
          <w:sz w:val="44"/>
          <w:szCs w:val="44"/>
          <w:highlight w:val="none"/>
        </w:rPr>
      </w:pPr>
      <w:r>
        <w:rPr>
          <w:b/>
          <w:bCs/>
          <w:color w:val="auto"/>
          <w:sz w:val="44"/>
          <w:szCs w:val="44"/>
          <w:highlight w:val="none"/>
        </w:rPr>
      </w:r>
      <w:r/>
    </w:p>
    <w:p>
      <w:pPr>
        <w:rPr>
          <w:rFonts w:hint="default" w:ascii="宋体" w:hAnsi="Times New Roman" w:eastAsia="宋体" w:cs="Times New Roman"/>
          <w:b/>
          <w:color w:val="auto"/>
          <w:sz w:val="44"/>
          <w:szCs w:val="44"/>
          <w:highlight w:val="none"/>
          <w:lang w:val="en-US" w:eastAsia="zh-CN" w:bidi="ar-SA"/>
        </w:rPr>
      </w:pPr>
      <w:r>
        <w:rPr>
          <w:rFonts w:hint="default" w:ascii="宋体" w:hAnsi="Times New Roman" w:eastAsia="宋体" w:cs="Times New Roman"/>
          <w:b/>
          <w:color w:val="auto"/>
          <w:sz w:val="44"/>
          <w:szCs w:val="44"/>
          <w:highlight w:val="none"/>
          <w:lang w:val="en-US" w:eastAsia="zh-CN" w:bidi="ar-SA"/>
        </w:rPr>
        <w:br w:type="page" w:clear="all"/>
      </w:r>
      <w:r/>
    </w:p>
    <w:p>
      <w:pPr>
        <w:pStyle w:val="764"/>
        <w:numPr>
          <w:ilvl w:val="0"/>
          <w:numId w:val="0"/>
        </w:numPr>
        <w:ind w:left="367"/>
        <w:jc w:val="center"/>
        <w:rPr>
          <w:b/>
          <w:color w:val="auto"/>
          <w:sz w:val="44"/>
          <w:szCs w:val="44"/>
          <w:highlight w:val="none"/>
        </w:rPr>
      </w:pPr>
      <w:r>
        <w:rPr>
          <w:rFonts w:hint="default" w:ascii="宋体" w:hAnsi="Times New Roman" w:eastAsia="宋体" w:cs="Times New Roman"/>
          <w:b/>
          <w:color w:val="auto"/>
          <w:sz w:val="44"/>
          <w:szCs w:val="44"/>
          <w:highlight w:val="none"/>
          <w:lang w:val="en-US" w:eastAsia="zh-CN" w:bidi="ar-SA"/>
        </w:rPr>
        <w:t xml:space="preserve">2、</w:t>
      </w:r>
      <w:r>
        <w:rPr>
          <w:rFonts w:hint="eastAsia"/>
          <w:b/>
          <w:color w:val="auto"/>
          <w:sz w:val="44"/>
          <w:szCs w:val="44"/>
          <w:highlight w:val="none"/>
        </w:rPr>
        <w:t xml:space="preserve">资格、技术、商务部分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1、资格性审查文件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具有独立承担民事责任的能力：提供投标单位营业执照及法定代表人身份证扫描件或自然人的身份证明、授权委托书（如有授权）、被授权人身份证（如有授权）、资格文件的声明函、投标承诺函、投标人基本情况表。（详见投标文件格式）</w:t>
      </w:r>
      <w:r/>
    </w:p>
    <w:p>
      <w:pPr>
        <w:pStyle w:val="760"/>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关于资格文件的声明函</w:t>
      </w:r>
      <w:r/>
    </w:p>
    <w:p>
      <w:pPr>
        <w:pStyle w:val="760"/>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6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6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hAnsi="宋体" w:cs="宋体"/>
          <w:b/>
          <w:bCs/>
          <w:color w:val="auto"/>
          <w:sz w:val="21"/>
          <w:szCs w:val="21"/>
          <w:highlight w:val="none"/>
          <w:u w:val="single"/>
          <w:lang w:eastAsia="zh-CN"/>
        </w:rPr>
        <w:t xml:space="preserve"> </w:t>
      </w:r>
      <w:r>
        <w:rPr>
          <w:rFonts w:hint="eastAsia"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rPr>
        <w:t xml:space="preserve">：</w:t>
      </w:r>
      <w:r/>
    </w:p>
    <w:p>
      <w:pPr>
        <w:pStyle w:val="7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0"/>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spacing w:line="360" w:lineRule="auto"/>
        <w:rPr>
          <w:rFonts w:hAnsi="宋体"/>
          <w:b/>
          <w:bCs/>
          <w:color w:val="auto"/>
          <w:sz w:val="21"/>
          <w:szCs w:val="21"/>
          <w:highlight w:val="none"/>
        </w:rPr>
      </w:pPr>
      <w:r>
        <w:rPr>
          <w:rFonts w:hint="eastAsia" w:hAnsi="宋体"/>
          <w:b/>
          <w:bCs/>
          <w:color w:val="auto"/>
          <w:sz w:val="21"/>
          <w:szCs w:val="21"/>
          <w:highlight w:val="none"/>
          <w:lang w:val="en-US" w:eastAsia="zh-CN"/>
        </w:rPr>
        <w:t xml:space="preserve">格式2：</w:t>
      </w:r>
      <w:r>
        <w:rPr>
          <w:rFonts w:hint="eastAsia" w:hAnsi="宋体"/>
          <w:b/>
          <w:bCs/>
          <w:color w:val="auto"/>
          <w:sz w:val="21"/>
          <w:szCs w:val="21"/>
          <w:highlight w:val="none"/>
        </w:rPr>
        <w:t xml:space="preserve">投标承诺函</w:t>
      </w:r>
      <w:r/>
    </w:p>
    <w:p>
      <w:pPr>
        <w:jc w:val="center"/>
        <w:spacing w:line="360" w:lineRule="auto"/>
        <w:rPr>
          <w:rFonts w:hAnsi="宋体"/>
          <w:color w:val="auto"/>
          <w:sz w:val="21"/>
          <w:szCs w:val="21"/>
          <w:highlight w:val="none"/>
        </w:rPr>
      </w:pPr>
      <w:r>
        <w:rPr>
          <w:rFonts w:hint="eastAsia" w:hAnsi="宋体"/>
          <w:color w:val="auto"/>
          <w:sz w:val="21"/>
          <w:szCs w:val="21"/>
          <w:highlight w:val="none"/>
        </w:rPr>
        <w:t xml:space="preserve">投标承诺函</w:t>
      </w:r>
      <w:r/>
    </w:p>
    <w:p>
      <w:pPr>
        <w:spacing w:line="360" w:lineRule="auto"/>
        <w:rPr>
          <w:rFonts w:hAnsi="宋体"/>
          <w:color w:val="auto"/>
          <w:sz w:val="21"/>
          <w:szCs w:val="21"/>
          <w:highlight w:val="none"/>
        </w:rPr>
      </w:pPr>
      <w:r>
        <w:rPr>
          <w:rFonts w:hint="eastAsia" w:hAnsi="宋体"/>
          <w:color w:val="auto"/>
          <w:sz w:val="21"/>
          <w:szCs w:val="21"/>
          <w:highlight w:val="none"/>
        </w:rPr>
        <w:t xml:space="preserve">江苏兆丰项目管理有限公司：</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我们收到贵单位</w:t>
      </w:r>
      <w:r>
        <w:rPr>
          <w:rFonts w:hint="eastAsia" w:hAnsi="宋体"/>
          <w:color w:val="auto"/>
          <w:sz w:val="21"/>
          <w:szCs w:val="21"/>
          <w:highlight w:val="none"/>
          <w:u w:val="single"/>
        </w:rPr>
        <w:t xml:space="preserve">   （项目名称）   </w:t>
      </w:r>
      <w:r>
        <w:rPr>
          <w:rFonts w:hint="eastAsia" w:hAnsi="宋体"/>
          <w:color w:val="auto"/>
          <w:sz w:val="21"/>
          <w:szCs w:val="21"/>
          <w:highlight w:val="none"/>
        </w:rPr>
        <w:t xml:space="preserve">招标文件（项目编号：</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），经仔细阅读和研究，我们决定参加投标。</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各种税费、人工、保险、劳保、维护、利润、税金、工作餐、政策性文件规定及合同包含的所有风险、责任等各项应有费用，其他临时性杂项应急服务费用也包含在投标报价中。甲方不再支付其他费用。</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2、如果我们的投标书被接受，我们将严格履行招标文件中规定的每一项要求，按期、按质、按量履行合同的义务。</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3、我们已详细审查全部招标文件，包括补充文件(更正公告)(如有)。我们完全理解并同意放弃对这方面有不明及误解的权力。</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4、我们同意按招标文件中的规定，本投标书的有效期限为投标截止日起90天。</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5、我们愿意提供采购人或采购代理机构在招标文件中要求的所有资料。</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6、我们声明：我们在参加本次政府采购活动前3年内在经营活动中没有重大违法记录。</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7、我们愿意遵守招标公告及招标文件中所列的收费标准。</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8、我们承诺该项投标在开标后的全过程中保持有效，不作任何更改和变动。</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9、如果我们中标，我们愿意按招标文件的规定支付代理服务费；</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10、我们承诺我公司符合招标文件投标人须知中“合格投标人的资格条件”的要求，若与真实情况不符，本公司愿意承担由此而产生的一切后果。</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11、我们承诺我公司中标后，合同部分或全部不予转包。</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12、综合说明：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（1）伴随服务及配合措施；</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（2）要求甲方提供的配合；</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（3）对招标文件有不同意见的偏离说明；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（4）其它说明。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所有有关标书的函电，请按下列地址联系：</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单位：联系人：</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地址：邮政编码：</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联系电话：传真：</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电子邮箱：</w:t>
      </w:r>
      <w:r/>
    </w:p>
    <w:p>
      <w:pPr>
        <w:ind w:firstLine="420"/>
        <w:spacing w:line="360" w:lineRule="auto"/>
        <w:rPr>
          <w:rFonts w:hAnsi="宋体"/>
          <w:color w:val="auto"/>
          <w:sz w:val="21"/>
          <w:szCs w:val="21"/>
          <w:highlight w:val="none"/>
        </w:rPr>
      </w:pPr>
      <w:r>
        <w:rPr>
          <w:rFonts w:hAnsi="宋体"/>
          <w:color w:val="auto"/>
          <w:sz w:val="21"/>
          <w:szCs w:val="21"/>
          <w:highlight w:val="none"/>
        </w:rPr>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投标单位：（单位盖章）</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法定代表人或代理人：（签字或盖章）</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日期：   年  月  日</w:t>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：投标人基本情况表</w:t>
      </w:r>
      <w:r/>
    </w:p>
    <w:p>
      <w:pPr>
        <w:pStyle w:val="760"/>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75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760"/>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760"/>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w:t>
      </w:r>
      <w:r>
        <w:rPr>
          <w:rFonts w:hint="eastAsia"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8890"/>
                <wp:wrapNone/>
                <wp:docPr id="4"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7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15875" b="13335"/>
                <wp:wrapNone/>
                <wp:docPr id="5"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4" o:spid="_x0000_s4"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w:t>
      </w:r>
      <w:r>
        <w:rPr>
          <w:rFonts w:hint="eastAsia"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若招标代理机构在本项目采购过程中发现我单位近三年内在政府采购活动中有重大违法记录，我单位将无条件退出本项目的招标，并承担因此引起的一切后果。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1.6特定资格条件：</w:t>
      </w:r>
      <w:r/>
    </w:p>
    <w:p>
      <w:pPr>
        <w:pStyle w:val="786"/>
        <w:ind w:firstLine="422"/>
        <w:spacing w:before="0" w:beforeAutospacing="0" w:after="0" w:afterAutospacing="0" w:line="360" w:lineRule="auto"/>
        <w:rPr>
          <w:rFonts w:hint="eastAsia"/>
          <w:b/>
          <w:bCs/>
          <w:color w:val="auto"/>
          <w:sz w:val="21"/>
          <w:szCs w:val="21"/>
          <w:highlight w:val="none"/>
        </w:rPr>
      </w:pPr>
      <w:r>
        <w:rPr>
          <w:rStyle w:val="791"/>
          <w:rFonts w:hint="eastAsia"/>
          <w:color w:val="auto"/>
          <w:sz w:val="21"/>
          <w:szCs w:val="21"/>
          <w:highlight w:val="none"/>
        </w:rPr>
        <w:t xml:space="preserve">1.6.1</w:t>
      </w:r>
      <w:r>
        <w:rPr>
          <w:rFonts w:hint="eastAsia"/>
          <w:b/>
          <w:bCs/>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786"/>
        <w:ind w:firstLine="422"/>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shd w:val="clear" w:color="auto" w:fill="ffffff"/>
        </w:rPr>
        <w:t xml:space="preserve">1.6.2本项目属于专门面向中小企业采购的项目，投标人应为中小微企业，必须提供《中小企业声明函》，小微企业不享受价格扣除优惠。提供《残疾人福利性单位声明函》或属于监狱企业的证明文件的视同小微企业。</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1.6.3投标单位应具有建设行政主管部门颁发的检测机构资质（核定检测项目至少包括：主体结构现场检测，地基基础工程检测资质）；</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1.6.4具有省、直辖市或国家计量行政部门颁发的有效期内的《CMA计量认证》证书；</w:t>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355" w:firstLine="412"/>
        <w:jc w:val="both"/>
        <w:spacing w:after="120"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numPr>
          <w:ilvl w:val="0"/>
          <w:numId w:val="3"/>
        </w:numPr>
        <w:ind w:firstLine="420"/>
        <w:jc w:val="both"/>
        <w:spacing w:line="360" w:lineRule="auto"/>
        <w:widowControl w:val="off"/>
        <w:tabs>
          <w:tab w:val="left" w:pos="1243" w:leader="none"/>
        </w:tabs>
        <w:rPr>
          <w:rFonts w:hint="eastAsia"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rPr>
        <w:t xml:space="preserve">标的名称</w:t>
      </w:r>
      <w:r>
        <w:rPr>
          <w:rFonts w:hint="eastAsia" w:ascii="宋体" w:hAnsi="宋体" w:cs="宋体"/>
          <w:color w:val="auto"/>
          <w:spacing w:val="-2"/>
          <w:sz w:val="21"/>
          <w:szCs w:val="21"/>
          <w:highlight w:val="none"/>
          <w:lang w:val="zh-CN" w:bidi="zh-CN"/>
        </w:rPr>
        <w:t xml:space="preserve">属于</w:t>
      </w:r>
      <w:r>
        <w:rPr>
          <w:rFonts w:hint="eastAsia" w:ascii="宋体" w:hAnsi="宋体" w:cs="宋体"/>
          <w:color w:val="auto"/>
          <w:sz w:val="21"/>
          <w:szCs w:val="21"/>
          <w:highlight w:val="none"/>
          <w:u w:val="single"/>
          <w:lang w:val="zh-CN" w:bidi="zh-CN"/>
        </w:rPr>
        <w:t xml:space="preserve">（采购文件中明确的所属行业）</w:t>
      </w:r>
      <w:r>
        <w:rPr>
          <w:rFonts w:hint="eastAsia" w:ascii="宋体" w:hAnsi="宋体" w:cs="宋体"/>
          <w:color w:val="auto"/>
          <w:sz w:val="21"/>
          <w:szCs w:val="21"/>
          <w:highlight w:val="none"/>
          <w:lang w:val="zh-CN" w:bidi="zh-CN"/>
        </w:rPr>
        <w:t xml:space="preserve">；</w:t>
      </w:r>
      <w:r>
        <w:rPr>
          <w:rFonts w:hint="eastAsia" w:ascii="宋体" w:hAnsi="宋体" w:cs="宋体"/>
          <w:color w:val="auto"/>
          <w:spacing w:val="-2"/>
          <w:sz w:val="21"/>
          <w:szCs w:val="21"/>
          <w:highlight w:val="none"/>
          <w:lang w:val="zh-CN" w:bidi="zh-CN"/>
        </w:rPr>
        <w:t xml:space="preserve">承接企业为</w:t>
      </w:r>
      <w:r>
        <w:rPr>
          <w:rFonts w:hint="eastAsia" w:ascii="宋体" w:hAnsi="宋体" w:cs="宋体"/>
          <w:color w:val="auto"/>
          <w:sz w:val="21"/>
          <w:szCs w:val="21"/>
          <w:highlight w:val="none"/>
          <w:u w:val="single"/>
          <w:lang w:val="zh-CN" w:bidi="zh-CN"/>
        </w:rPr>
        <w:t xml:space="preserve">（企业名称）</w:t>
      </w:r>
      <w:r>
        <w:rPr>
          <w:rFonts w:hint="eastAsia" w:ascii="宋体" w:hAnsi="宋体" w:cs="宋体"/>
          <w:color w:val="auto"/>
          <w:spacing w:val="-2"/>
          <w:sz w:val="21"/>
          <w:szCs w:val="21"/>
          <w:highlight w:val="none"/>
          <w:lang w:val="zh-CN" w:bidi="zh-CN"/>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万元，属于</w:t>
      </w:r>
      <w:r>
        <w:rPr>
          <w:rFonts w:hint="eastAsia" w:ascii="宋体" w:hAnsi="宋体" w:cs="宋体"/>
          <w:color w:val="auto"/>
          <w:sz w:val="21"/>
          <w:szCs w:val="21"/>
          <w:highlight w:val="none"/>
          <w:u w:val="single"/>
          <w:lang w:val="zh-CN" w:bidi="zh-CN"/>
        </w:rPr>
        <w:t xml:space="preserve">（中型企业、小型企业、微型企业）</w:t>
      </w:r>
      <w:r>
        <w:rPr>
          <w:rFonts w:hint="eastAsia" w:ascii="宋体" w:hAnsi="宋体" w:cs="宋体"/>
          <w:color w:val="auto"/>
          <w:sz w:val="21"/>
          <w:szCs w:val="21"/>
          <w:highlight w:val="none"/>
          <w:lang w:val="zh-CN" w:bidi="zh-CN"/>
        </w:rPr>
        <w:t xml:space="preserve">；</w:t>
      </w:r>
      <w:r/>
    </w:p>
    <w:p>
      <w:pPr>
        <w:numPr>
          <w:ilvl w:val="0"/>
          <w:numId w:val="3"/>
        </w:numPr>
        <w:ind w:firstLine="420"/>
        <w:jc w:val="both"/>
        <w:spacing w:line="360" w:lineRule="auto"/>
        <w:widowControl w:val="off"/>
        <w:tabs>
          <w:tab w:val="left" w:pos="1243" w:leader="none"/>
        </w:tabs>
        <w:rPr>
          <w:rFonts w:hint="eastAsia"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rPr>
        <w:t xml:space="preserve">标的名称</w:t>
      </w:r>
      <w:r>
        <w:rPr>
          <w:rFonts w:hint="eastAsia" w:ascii="宋体" w:hAnsi="宋体" w:cs="宋体"/>
          <w:color w:val="auto"/>
          <w:spacing w:val="-2"/>
          <w:sz w:val="21"/>
          <w:szCs w:val="21"/>
          <w:highlight w:val="none"/>
          <w:lang w:val="zh-CN" w:bidi="zh-CN"/>
        </w:rPr>
        <w:t xml:space="preserve">属于</w:t>
      </w:r>
      <w:r>
        <w:rPr>
          <w:rFonts w:hint="eastAsia" w:ascii="宋体" w:hAnsi="宋体" w:cs="宋体"/>
          <w:color w:val="auto"/>
          <w:sz w:val="21"/>
          <w:szCs w:val="21"/>
          <w:highlight w:val="none"/>
          <w:u w:val="single"/>
          <w:lang w:val="zh-CN" w:bidi="zh-CN"/>
        </w:rPr>
        <w:t xml:space="preserve">（采购文件中明确的所属行业）</w:t>
      </w:r>
      <w:r>
        <w:rPr>
          <w:rFonts w:hint="eastAsia" w:ascii="宋体" w:hAnsi="宋体" w:cs="宋体"/>
          <w:color w:val="auto"/>
          <w:sz w:val="21"/>
          <w:szCs w:val="21"/>
          <w:highlight w:val="none"/>
          <w:lang w:val="zh-CN" w:bidi="zh-CN"/>
        </w:rPr>
        <w:t xml:space="preserve">；</w:t>
      </w:r>
      <w:r>
        <w:rPr>
          <w:rFonts w:hint="eastAsia" w:ascii="宋体" w:hAnsi="宋体" w:cs="宋体"/>
          <w:color w:val="auto"/>
          <w:spacing w:val="-2"/>
          <w:sz w:val="21"/>
          <w:szCs w:val="21"/>
          <w:highlight w:val="none"/>
          <w:lang w:val="zh-CN" w:bidi="zh-CN"/>
        </w:rPr>
        <w:t xml:space="preserve">承接企业为</w:t>
      </w:r>
      <w:r>
        <w:rPr>
          <w:rFonts w:hint="eastAsia" w:ascii="宋体" w:hAnsi="宋体" w:cs="宋体"/>
          <w:color w:val="auto"/>
          <w:sz w:val="21"/>
          <w:szCs w:val="21"/>
          <w:highlight w:val="none"/>
          <w:u w:val="single"/>
          <w:lang w:val="zh-CN" w:bidi="zh-CN"/>
        </w:rPr>
        <w:t xml:space="preserve">（企业名称）</w:t>
      </w:r>
      <w:r>
        <w:rPr>
          <w:rFonts w:hint="eastAsia" w:ascii="宋体" w:hAnsi="宋体" w:cs="宋体"/>
          <w:color w:val="auto"/>
          <w:spacing w:val="-2"/>
          <w:sz w:val="21"/>
          <w:szCs w:val="21"/>
          <w:highlight w:val="none"/>
          <w:lang w:val="zh-CN" w:bidi="zh-CN"/>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万元，属于</w:t>
      </w:r>
      <w:r>
        <w:rPr>
          <w:rFonts w:hint="eastAsia" w:ascii="宋体" w:hAnsi="宋体" w:cs="宋体"/>
          <w:color w:val="auto"/>
          <w:sz w:val="21"/>
          <w:szCs w:val="21"/>
          <w:highlight w:val="none"/>
          <w:u w:val="single"/>
          <w:lang w:val="zh-CN" w:bidi="zh-CN"/>
        </w:rPr>
        <w:t xml:space="preserve">（中型企业、小型企业、微型企业）</w:t>
      </w:r>
      <w:r>
        <w:rPr>
          <w:rFonts w:hint="eastAsia" w:ascii="宋体" w:hAnsi="宋体" w:cs="宋体"/>
          <w:color w:val="auto"/>
          <w:sz w:val="21"/>
          <w:szCs w:val="21"/>
          <w:highlight w:val="none"/>
          <w:lang w:val="zh-CN" w:bidi="zh-CN"/>
        </w:rPr>
        <w:t xml:space="preserve">；</w:t>
      </w:r>
      <w:r/>
    </w:p>
    <w:p>
      <w:pPr>
        <w:ind w:left="860"/>
        <w:spacing w:before="11" w:after="12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right="357" w:firstLine="645"/>
        <w:jc w:val="both"/>
        <w:spacing w:before="108" w:after="120"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ind w:right="315" w:firstLine="640"/>
        <w:spacing w:after="12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760"/>
        <w:ind w:left="0"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400" w:firstLine="42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投标人：（盖章）</w:t>
      </w:r>
      <w:r/>
    </w:p>
    <w:p>
      <w:pPr>
        <w:ind w:left="382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法定代表人或其委托代理人：（盖章或签字）</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bookmarkStart w:id="22" w:name="_Toc5165"/>
      <w:r>
        <w:rPr>
          <w:rFonts w:hint="eastAsia" w:ascii="宋体" w:hAnsi="宋体" w:cs="宋体"/>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2"/>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注：必须按投标人资格要求提供相关资料并加盖公章，否则投标无效。</w:t>
      </w:r>
      <w:r/>
    </w:p>
    <w:p>
      <w:pPr>
        <w:pStyle w:val="764"/>
        <w:jc w:val="both"/>
        <w:rPr>
          <w:b/>
          <w:color w:val="auto"/>
          <w:sz w:val="44"/>
          <w:szCs w:val="44"/>
          <w:highlight w:val="none"/>
        </w:rPr>
      </w:pPr>
      <w:r>
        <w:rPr>
          <w:b/>
          <w:color w:val="auto"/>
          <w:sz w:val="44"/>
          <w:szCs w:val="44"/>
          <w:highlight w:val="none"/>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760"/>
        <w:numPr>
          <w:ilvl w:val="0"/>
          <w:numId w:val="0"/>
        </w:num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符合性审查文件部分</w:t>
      </w:r>
      <w:r/>
    </w:p>
    <w:p>
      <w:pPr>
        <w:pStyle w:val="760"/>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w:t>
      </w:r>
      <w:r>
        <w:rPr>
          <w:rFonts w:hint="eastAsia" w:hAnsi="宋体" w:cs="宋体"/>
          <w:b/>
          <w:color w:val="auto"/>
          <w:sz w:val="21"/>
          <w:szCs w:val="21"/>
          <w:highlight w:val="none"/>
          <w:lang w:val="en-US" w:eastAsia="zh-CN" w:bidi="ar"/>
        </w:rPr>
        <w:t xml:space="preserve">8</w:t>
      </w:r>
      <w:r>
        <w:rPr>
          <w:rFonts w:hint="eastAsia" w:ascii="宋体" w:hAnsi="宋体" w:cs="宋体"/>
          <w:b/>
          <w:color w:val="auto"/>
          <w:sz w:val="21"/>
          <w:szCs w:val="21"/>
          <w:highlight w:val="none"/>
          <w:lang w:bidi="ar"/>
        </w:rPr>
        <w:t xml:space="preserve">：</w:t>
      </w:r>
      <w:r>
        <w:rPr>
          <w:rFonts w:hint="eastAsia" w:ascii="宋体" w:hAnsi="宋体" w:cs="宋体"/>
          <w:b/>
          <w:color w:val="auto"/>
          <w:sz w:val="21"/>
          <w:szCs w:val="21"/>
          <w:highlight w:val="none"/>
        </w:rPr>
        <w:t xml:space="preserve">服务条款偏离表</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760"/>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60"/>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60"/>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760"/>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60"/>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rPr>
          <w:rFonts w:hint="eastAsia" w:ascii="宋体" w:hAnsi="宋体" w:cs="宋体"/>
          <w:b/>
          <w:bCs/>
          <w:color w:val="auto"/>
          <w:spacing w:val="20"/>
          <w:sz w:val="21"/>
          <w:szCs w:val="21"/>
          <w:highlight w:val="none"/>
        </w:rPr>
      </w:pPr>
      <w:r>
        <w:rPr>
          <w:rFonts w:hint="eastAsia" w:ascii="宋体" w:hAnsi="宋体" w:cs="宋体"/>
          <w:b/>
          <w:color w:val="auto"/>
          <w:sz w:val="21"/>
          <w:szCs w:val="21"/>
          <w:highlight w:val="none"/>
          <w:lang w:bidi="ar"/>
        </w:rPr>
        <w:t xml:space="preserve">格式</w:t>
      </w:r>
      <w:r>
        <w:rPr>
          <w:rFonts w:hint="eastAsia" w:hAnsi="宋体" w:cs="宋体"/>
          <w:b/>
          <w:color w:val="auto"/>
          <w:sz w:val="21"/>
          <w:szCs w:val="21"/>
          <w:highlight w:val="none"/>
          <w:lang w:val="en-US" w:eastAsia="zh-CN" w:bidi="ar"/>
        </w:rPr>
        <w:t xml:space="preserve">9</w:t>
      </w:r>
      <w:r>
        <w:rPr>
          <w:rFonts w:hint="eastAsia" w:ascii="宋体" w:hAnsi="宋体" w:cs="宋体"/>
          <w:b/>
          <w:color w:val="auto"/>
          <w:sz w:val="21"/>
          <w:szCs w:val="21"/>
          <w:highlight w:val="none"/>
          <w:lang w:bidi="ar"/>
        </w:rPr>
        <w:t xml:space="preserve">：</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758"/>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15"/>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人员投入</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2" w:space="0"/>
              <w:left w:val="single" w:color="auto" w:sz="2" w:space="0"/>
              <w:bottom w:val="single" w:color="auto" w:sz="2" w:space="0"/>
              <w:right w:val="single" w:color="auto" w:sz="2"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2" w:space="0"/>
              <w:left w:val="single" w:color="auto" w:sz="2" w:space="0"/>
              <w:bottom w:val="single" w:color="auto" w:sz="2" w:space="0"/>
              <w:right w:val="single" w:color="auto" w:sz="2"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br w:type="page" w:clear="all"/>
      </w:r>
      <w:r/>
    </w:p>
    <w:p>
      <w:pPr>
        <w:pStyle w:val="760"/>
        <w:numPr>
          <w:ilvl w:val="0"/>
          <w:numId w:val="0"/>
        </w:numPr>
        <w:ind w:firstLine="42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bidi="ar-SA"/>
        </w:rPr>
        <w:t xml:space="preserve">3、</w:t>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w:t>
      </w:r>
      <w:r>
        <w:rPr>
          <w:rFonts w:hint="eastAsia" w:hAnsi="宋体" w:cs="宋体"/>
          <w:b/>
          <w:bCs/>
          <w:color w:val="auto"/>
          <w:sz w:val="21"/>
          <w:szCs w:val="21"/>
          <w:highlight w:val="none"/>
          <w:lang w:val="en-US" w:eastAsia="zh-CN"/>
        </w:rPr>
        <w:t xml:space="preserve">10</w:t>
      </w:r>
      <w:r>
        <w:rPr>
          <w:rFonts w:hint="eastAsia" w:ascii="宋体" w:hAnsi="宋体" w:cs="宋体"/>
          <w:b/>
          <w:bCs/>
          <w:color w:val="auto"/>
          <w:sz w:val="21"/>
          <w:szCs w:val="21"/>
          <w:highlight w:val="none"/>
        </w:rPr>
        <w:t xml:space="preserve">：相关证书一览表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58"/>
        <w:tblW w:w="931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highlight w:val="none"/>
        </w:rPr>
      </w:pPr>
      <w:r>
        <w:rPr>
          <w:rFonts w:hint="eastAsia" w:ascii="宋体" w:hAnsi="宋体" w:cs="宋体"/>
          <w:color w:val="auto"/>
          <w:sz w:val="21"/>
          <w:szCs w:val="21"/>
          <w:highlight w:val="none"/>
          <w:lang w:val="zh-CN"/>
        </w:rPr>
        <w:t xml:space="preserve">      年     月     日</w:t>
      </w:r>
      <w:r/>
    </w:p>
    <w:p>
      <w:pPr>
        <w:pStyle w:val="760"/>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60"/>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7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r>
        <w:rPr>
          <w:rFonts w:hint="eastAsia" w:ascii="宋体" w:hAnsi="宋体" w:eastAsia="宋体" w:cs="宋体"/>
          <w:b/>
          <w:color w:val="auto"/>
          <w:sz w:val="21"/>
          <w:szCs w:val="21"/>
          <w:highlight w:val="none"/>
        </w:rP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0"/>
        <w:ind w:firstLine="0"/>
        <w:spacing w:line="360" w:lineRule="auto"/>
        <w:rPr>
          <w:color w:val="auto"/>
          <w:highlight w:val="none"/>
          <w:lang w:val="zh-CN"/>
        </w:rPr>
      </w:pPr>
      <w:r>
        <w:rPr>
          <w:rFonts w:hint="eastAsia" w:ascii="宋体" w:hAnsi="宋体" w:eastAsia="宋体" w:cs="宋体"/>
          <w:b/>
          <w:bCs/>
          <w:color w:val="auto"/>
          <w:sz w:val="21"/>
          <w:szCs w:val="21"/>
          <w:highlight w:val="none"/>
        </w:rPr>
        <w:t xml:space="preserve">4、价格折扣文件（如有）</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5、服务方案及其他招标文件要求自行编写格式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hAnsi="宋体"/>
          <w:b/>
          <w:bCs/>
          <w:color w:val="auto"/>
          <w:sz w:val="21"/>
          <w:szCs w:val="21"/>
          <w:highlight w:val="none"/>
        </w:rPr>
      </w:pPr>
      <w:r>
        <w:rPr>
          <w:rFonts w:hint="eastAsia" w:hAnsi="宋体"/>
          <w:b/>
          <w:bCs/>
          <w:color w:val="auto"/>
          <w:sz w:val="21"/>
          <w:szCs w:val="21"/>
          <w:highlight w:val="none"/>
        </w:rPr>
        <w:br w:type="page" w:clear="all"/>
      </w:r>
      <w:bookmarkEnd w:id="17"/>
      <w:r/>
      <w:bookmarkEnd w:id="18"/>
      <w:r/>
      <w:bookmarkEnd w:id="19"/>
      <w:r/>
      <w:bookmarkEnd w:id="20"/>
      <w:r/>
      <w:bookmarkEnd w:id="21"/>
      <w:r/>
      <w:r/>
    </w:p>
    <w:p>
      <w:pPr>
        <w:jc w:val="center"/>
        <w:spacing w:line="360" w:lineRule="auto"/>
        <w:rPr>
          <w:rFonts w:hAnsi="宋体"/>
          <w:b/>
          <w:bCs/>
          <w:color w:val="auto"/>
          <w:sz w:val="24"/>
          <w:szCs w:val="24"/>
          <w:highlight w:val="none"/>
        </w:rPr>
        <w:outlineLvl w:val="0"/>
      </w:pPr>
      <w:r/>
      <w:bookmarkStart w:id="23" w:name="_Toc159507040"/>
      <w:r>
        <w:rPr>
          <w:rFonts w:hint="eastAsia" w:hAnsi="宋体"/>
          <w:b/>
          <w:bCs/>
          <w:color w:val="auto"/>
          <w:sz w:val="24"/>
          <w:szCs w:val="24"/>
          <w:highlight w:val="none"/>
        </w:rPr>
        <w:t xml:space="preserve">第六章 合同主要条款</w:t>
      </w:r>
      <w:bookmarkEnd w:id="23"/>
      <w:r/>
      <w:r/>
    </w:p>
    <w:p>
      <w:pPr>
        <w:pStyle w:val="764"/>
        <w:spacing w:before="6" w:line="360" w:lineRule="auto"/>
        <w:rPr>
          <w:rFonts w:hAnsi="宋体" w:cs="宋体"/>
          <w:color w:val="auto"/>
          <w:sz w:val="24"/>
          <w:szCs w:val="24"/>
          <w:highlight w:val="none"/>
        </w:rPr>
      </w:pPr>
      <w:r>
        <w:rPr>
          <w:rFonts w:hAnsi="宋体" w:cs="宋体"/>
          <w:color w:val="auto"/>
          <w:sz w:val="24"/>
          <w:szCs w:val="24"/>
          <w:highlight w:val="none"/>
        </w:rPr>
      </w:r>
      <w:r/>
    </w:p>
    <w:p>
      <w:pPr>
        <w:ind w:left="2341" w:right="2620"/>
        <w:jc w:val="center"/>
        <w:spacing w:before="1"/>
        <w:rPr>
          <w:rFonts w:ascii="黑体" w:eastAsia="黑体"/>
          <w:color w:val="auto"/>
          <w:sz w:val="84"/>
          <w:highlight w:val="none"/>
        </w:rPr>
      </w:pPr>
      <w:r>
        <w:rPr>
          <w:rFonts w:ascii="黑体" w:eastAsia="黑体"/>
          <w:color w:val="auto"/>
          <w:spacing w:val="-2"/>
          <w:sz w:val="84"/>
          <w:highlight w:val="none"/>
        </w:rPr>
        <w:t xml:space="preserve">政府采购合同</w:t>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367"/>
        <w:spacing w:before="2" w:after="1"/>
        <w:rPr>
          <w:rFonts w:ascii="黑体" w:cs="Times New Roman"/>
          <w:color w:val="auto"/>
          <w:sz w:val="19"/>
          <w:szCs w:val="21"/>
          <w:highlight w:val="none"/>
        </w:rPr>
      </w:pPr>
      <w:r>
        <w:rPr>
          <w:rFonts w:ascii="黑体" w:cs="Times New Roman"/>
          <w:color w:val="auto"/>
          <w:sz w:val="19"/>
          <w:szCs w:val="21"/>
          <w:highlight w:val="none"/>
        </w:rPr>
      </w:r>
      <w:r/>
    </w:p>
    <w:tbl>
      <w:tblPr>
        <w:tblStyle w:val="758"/>
        <w:tblW w:w="6694" w:type="dxa"/>
        <w:tblInd w:w="1678" w:type="dxa"/>
        <w:tblLayout w:type="fixed"/>
        <w:tblCellMar>
          <w:left w:w="0" w:type="dxa"/>
          <w:top w:w="0" w:type="dxa"/>
          <w:right w:w="0" w:type="dxa"/>
          <w:bottom w:w="0" w:type="dxa"/>
        </w:tblCellMar>
        <w:tblLook w:val="04A0" w:firstRow="1" w:lastRow="0" w:firstColumn="1" w:lastColumn="0" w:noHBand="0" w:noVBand="1"/>
      </w:tblPr>
      <w:tblGrid>
        <w:gridCol w:w="2150"/>
        <w:gridCol w:w="4544"/>
      </w:tblGrid>
      <w:tr>
        <w:trPr>
          <w:trHeight w:val="367"/>
        </w:trPr>
        <w:tc>
          <w:tcPr>
            <w:tcW w:w="2150" w:type="dxa"/>
            <w:textDirection w:val="lrTb"/>
            <w:noWrap w:val="false"/>
          </w:tcPr>
          <w:p>
            <w:pPr>
              <w:ind w:left="45" w:right="52"/>
              <w:jc w:val="center"/>
              <w:spacing w:before="111" w:line="348" w:lineRule="exact"/>
              <w:rPr>
                <w:rFonts w:ascii="Arial" w:hAnsi="Calibri" w:cs="Arial"/>
                <w:color w:val="auto"/>
                <w:sz w:val="32"/>
                <w:szCs w:val="24"/>
                <w:highlight w:val="none"/>
                <w:lang w:eastAsia="en-US"/>
              </w:rPr>
            </w:pPr>
            <w:r>
              <w:rPr>
                <w:rFonts w:ascii="Arial" w:hAnsi="Calibri" w:cs="Arial"/>
                <w:color w:val="auto"/>
                <w:spacing w:val="43"/>
                <w:sz w:val="32"/>
                <w:szCs w:val="24"/>
                <w:highlight w:val="none"/>
                <w:lang w:eastAsia="en-US"/>
              </w:rPr>
              <w:t xml:space="preserve">合同编号</w:t>
            </w:r>
            <w:r>
              <w:rPr>
                <w:rFonts w:ascii="Arial" w:hAnsi="Calibri" w:cs="Arial"/>
                <w:color w:val="auto"/>
                <w:spacing w:val="-10"/>
                <w:sz w:val="32"/>
                <w:szCs w:val="24"/>
                <w:highlight w:val="none"/>
                <w:lang w:eastAsia="en-US"/>
              </w:rPr>
              <w:t xml:space="preserve">： </w:t>
            </w:r>
            <w:r/>
          </w:p>
        </w:tc>
        <w:tc>
          <w:tcPr>
            <w:tcBorders>
              <w:bottom w:val="single" w:color="000000" w:sz="4" w:space="0"/>
            </w:tcBorders>
            <w:tcW w:w="4544" w:type="dxa"/>
            <w:textDirection w:val="lrTb"/>
            <w:noWrap w:val="false"/>
          </w:tcPr>
          <w:p>
            <w:pPr>
              <w:jc w:val="center"/>
              <w:spacing w:before="111"/>
              <w:rPr>
                <w:rFonts w:ascii="Times New Roman" w:hAnsi="Calibri" w:cs="Arial"/>
                <w:color w:val="auto"/>
                <w:sz w:val="28"/>
                <w:szCs w:val="24"/>
                <w:highlight w:val="none"/>
                <w:lang w:eastAsia="en-US"/>
              </w:rPr>
            </w:pPr>
            <w:r>
              <w:rPr>
                <w:rFonts w:ascii="Times New Roman" w:hAnsi="Calibri" w:cs="Arial"/>
                <w:color w:val="auto"/>
                <w:sz w:val="28"/>
                <w:szCs w:val="24"/>
                <w:highlight w:val="none"/>
                <w:lang w:eastAsia="en-US"/>
              </w:rPr>
            </w:r>
            <w:r/>
          </w:p>
        </w:tc>
      </w:tr>
      <w:tr>
        <w:trPr>
          <w:trHeight w:val="566"/>
        </w:trPr>
        <w:tc>
          <w:tcPr>
            <w:tcW w:w="2150" w:type="dxa"/>
            <w:textDirection w:val="lrTb"/>
            <w:noWrap w:val="false"/>
          </w:tcPr>
          <w:p>
            <w:pPr>
              <w:ind w:left="45" w:right="52"/>
              <w:jc w:val="center"/>
              <w:spacing w:before="152" w:line="393" w:lineRule="exact"/>
              <w:rPr>
                <w:rFonts w:ascii="Arial" w:hAnsi="Calibri" w:cs="Arial"/>
                <w:color w:val="auto"/>
                <w:sz w:val="32"/>
                <w:szCs w:val="24"/>
                <w:highlight w:val="none"/>
                <w:lang w:eastAsia="en-US"/>
              </w:rPr>
            </w:pPr>
            <w:r>
              <w:rPr>
                <w:rFonts w:ascii="Arial" w:hAnsi="Calibri" w:cs="Arial"/>
                <w:color w:val="auto"/>
                <w:spacing w:val="43"/>
                <w:sz w:val="32"/>
                <w:szCs w:val="24"/>
                <w:highlight w:val="none"/>
                <w:lang w:eastAsia="en-US"/>
              </w:rPr>
              <w:t xml:space="preserve">项目名称</w:t>
            </w:r>
            <w:r>
              <w:rPr>
                <w:rFonts w:ascii="Arial" w:hAnsi="Calibri" w:cs="Arial"/>
                <w:color w:val="auto"/>
                <w:spacing w:val="-10"/>
                <w:sz w:val="32"/>
                <w:szCs w:val="24"/>
                <w:highlight w:val="none"/>
                <w:lang w:eastAsia="en-US"/>
              </w:rPr>
              <w:t xml:space="preserve">： </w:t>
            </w:r>
            <w:r/>
          </w:p>
        </w:tc>
        <w:tc>
          <w:tcPr>
            <w:tcBorders>
              <w:top w:val="single" w:color="000000" w:sz="4" w:space="0"/>
              <w:bottom w:val="single" w:color="000000" w:sz="4" w:space="0"/>
            </w:tcBorders>
            <w:tcW w:w="4544" w:type="dxa"/>
            <w:textDirection w:val="lrTb"/>
            <w:noWrap w:val="false"/>
          </w:tcPr>
          <w:p>
            <w:pPr>
              <w:jc w:val="center"/>
              <w:spacing w:before="111"/>
              <w:rPr>
                <w:rFonts w:ascii="Times New Roman" w:hAnsi="Calibri" w:cs="Arial"/>
                <w:color w:val="auto"/>
                <w:sz w:val="30"/>
                <w:szCs w:val="24"/>
                <w:highlight w:val="none"/>
                <w:lang w:eastAsia="en-US"/>
              </w:rPr>
            </w:pPr>
            <w:r>
              <w:rPr>
                <w:rFonts w:ascii="Times New Roman" w:hAnsi="Calibri" w:cs="Arial"/>
                <w:color w:val="auto"/>
                <w:sz w:val="30"/>
                <w:szCs w:val="24"/>
                <w:highlight w:val="none"/>
                <w:lang w:eastAsia="en-US"/>
              </w:rPr>
            </w:r>
            <w:r/>
          </w:p>
        </w:tc>
      </w:tr>
      <w:tr>
        <w:trPr>
          <w:trHeight w:val="566"/>
        </w:trPr>
        <w:tc>
          <w:tcPr>
            <w:tcW w:w="2150" w:type="dxa"/>
            <w:textDirection w:val="lrTb"/>
            <w:noWrap w:val="false"/>
          </w:tcPr>
          <w:p>
            <w:pPr>
              <w:ind w:left="45" w:right="96"/>
              <w:jc w:val="center"/>
              <w:spacing w:before="153" w:line="393" w:lineRule="exact"/>
              <w:rPr>
                <w:rFonts w:ascii="Arial" w:hAnsi="Calibri" w:cs="Arial"/>
                <w:color w:val="auto"/>
                <w:sz w:val="32"/>
                <w:szCs w:val="24"/>
                <w:highlight w:val="none"/>
                <w:lang w:eastAsia="en-US"/>
              </w:rPr>
            </w:pPr>
            <w:r>
              <w:rPr>
                <w:rFonts w:ascii="Arial" w:hAnsi="Calibri" w:cs="Arial"/>
                <w:color w:val="auto"/>
                <w:spacing w:val="-3"/>
                <w:sz w:val="32"/>
                <w:szCs w:val="24"/>
                <w:highlight w:val="none"/>
                <w:lang w:eastAsia="en-US"/>
              </w:rPr>
              <w:t xml:space="preserve">采 购 人 ：</w:t>
            </w:r>
            <w:r/>
          </w:p>
        </w:tc>
        <w:tc>
          <w:tcPr>
            <w:tcBorders>
              <w:top w:val="single" w:color="000000" w:sz="4" w:space="0"/>
              <w:bottom w:val="single" w:color="000000" w:sz="4" w:space="0"/>
            </w:tcBorders>
            <w:tcW w:w="4544" w:type="dxa"/>
            <w:textDirection w:val="lrTb"/>
            <w:noWrap w:val="false"/>
          </w:tcPr>
          <w:p>
            <w:pPr>
              <w:jc w:val="center"/>
              <w:spacing w:before="111"/>
              <w:rPr>
                <w:rFonts w:ascii="Times New Roman" w:hAnsi="Calibri" w:cs="Arial"/>
                <w:color w:val="auto"/>
                <w:sz w:val="30"/>
                <w:szCs w:val="24"/>
                <w:highlight w:val="none"/>
                <w:lang w:eastAsia="en-US"/>
              </w:rPr>
            </w:pPr>
            <w:r>
              <w:rPr>
                <w:rFonts w:ascii="Times New Roman" w:hAnsi="Calibri" w:cs="Arial"/>
                <w:color w:val="auto"/>
                <w:sz w:val="30"/>
                <w:szCs w:val="24"/>
                <w:highlight w:val="none"/>
                <w:lang w:eastAsia="en-US"/>
              </w:rPr>
            </w:r>
            <w:r/>
          </w:p>
        </w:tc>
      </w:tr>
      <w:tr>
        <w:trPr>
          <w:trHeight w:val="568"/>
        </w:trPr>
        <w:tc>
          <w:tcPr>
            <w:tcW w:w="2150" w:type="dxa"/>
            <w:textDirection w:val="lrTb"/>
            <w:noWrap w:val="false"/>
          </w:tcPr>
          <w:p>
            <w:pPr>
              <w:ind w:left="45" w:right="96"/>
              <w:jc w:val="center"/>
              <w:spacing w:before="155" w:line="393" w:lineRule="exact"/>
              <w:rPr>
                <w:rFonts w:ascii="Arial" w:hAnsi="Calibri" w:cs="Arial"/>
                <w:color w:val="auto"/>
                <w:sz w:val="32"/>
                <w:szCs w:val="24"/>
                <w:highlight w:val="none"/>
                <w:lang w:eastAsia="en-US"/>
              </w:rPr>
            </w:pPr>
            <w:r>
              <w:rPr>
                <w:rFonts w:ascii="Arial" w:hAnsi="Calibri" w:cs="Arial"/>
                <w:color w:val="auto"/>
                <w:spacing w:val="-3"/>
                <w:sz w:val="32"/>
                <w:szCs w:val="24"/>
                <w:highlight w:val="none"/>
                <w:lang w:eastAsia="en-US"/>
              </w:rPr>
              <w:t xml:space="preserve">供 应 商 ：</w:t>
            </w:r>
            <w:r/>
          </w:p>
        </w:tc>
        <w:tc>
          <w:tcPr>
            <w:tcBorders>
              <w:top w:val="single" w:color="000000" w:sz="4" w:space="0"/>
              <w:bottom w:val="single" w:color="000000" w:sz="4" w:space="0"/>
            </w:tcBorders>
            <w:tcW w:w="4544" w:type="dxa"/>
            <w:textDirection w:val="lrTb"/>
            <w:noWrap w:val="false"/>
          </w:tcPr>
          <w:p>
            <w:pPr>
              <w:jc w:val="center"/>
              <w:spacing w:before="111"/>
              <w:rPr>
                <w:rFonts w:ascii="Times New Roman" w:hAnsi="Calibri" w:cs="Arial"/>
                <w:color w:val="auto"/>
                <w:sz w:val="30"/>
                <w:szCs w:val="24"/>
                <w:highlight w:val="none"/>
                <w:lang w:eastAsia="en-US"/>
              </w:rPr>
            </w:pPr>
            <w:r>
              <w:rPr>
                <w:rFonts w:ascii="Times New Roman" w:hAnsi="Calibri" w:cs="Arial"/>
                <w:color w:val="auto"/>
                <w:sz w:val="30"/>
                <w:szCs w:val="24"/>
                <w:highlight w:val="none"/>
                <w:lang w:eastAsia="en-US"/>
              </w:rPr>
            </w:r>
            <w:r/>
          </w:p>
        </w:tc>
      </w:tr>
      <w:tr>
        <w:trPr>
          <w:trHeight w:val="568"/>
        </w:trPr>
        <w:tc>
          <w:tcPr>
            <w:tcW w:w="2150" w:type="dxa"/>
            <w:textDirection w:val="lrTb"/>
            <w:noWrap w:val="false"/>
          </w:tcPr>
          <w:p>
            <w:pPr>
              <w:ind w:left="45" w:right="96"/>
              <w:jc w:val="center"/>
              <w:spacing w:before="155" w:line="393" w:lineRule="exact"/>
              <w:rPr>
                <w:rFonts w:ascii="Arial" w:hAnsi="Calibri" w:cs="Arial"/>
                <w:color w:val="auto"/>
                <w:spacing w:val="-3"/>
                <w:sz w:val="32"/>
                <w:szCs w:val="24"/>
                <w:highlight w:val="none"/>
              </w:rPr>
            </w:pPr>
            <w:r>
              <w:rPr>
                <w:rFonts w:ascii="Arial" w:hAnsi="Calibri" w:cs="Arial"/>
                <w:color w:val="auto"/>
                <w:spacing w:val="43"/>
                <w:sz w:val="32"/>
                <w:szCs w:val="24"/>
                <w:highlight w:val="none"/>
                <w:lang w:eastAsia="en-US"/>
              </w:rPr>
              <w:t xml:space="preserve">编号</w:t>
            </w:r>
            <w:r>
              <w:rPr>
                <w:rFonts w:ascii="Arial" w:hAnsi="Calibri" w:cs="Arial"/>
                <w:color w:val="auto"/>
                <w:spacing w:val="-10"/>
                <w:sz w:val="32"/>
                <w:szCs w:val="24"/>
                <w:highlight w:val="none"/>
                <w:lang w:eastAsia="en-US"/>
              </w:rPr>
              <w:t xml:space="preserve">：</w:t>
            </w:r>
            <w:r/>
          </w:p>
        </w:tc>
        <w:tc>
          <w:tcPr>
            <w:tcBorders>
              <w:top w:val="single" w:color="000000" w:sz="4" w:space="0"/>
              <w:bottom w:val="single" w:color="000000" w:sz="4" w:space="0"/>
            </w:tcBorders>
            <w:tcW w:w="4544" w:type="dxa"/>
            <w:textDirection w:val="lrTb"/>
            <w:noWrap w:val="false"/>
          </w:tcPr>
          <w:p>
            <w:pPr>
              <w:jc w:val="center"/>
              <w:spacing w:before="111"/>
              <w:rPr>
                <w:rFonts w:ascii="Times New Roman" w:hAnsi="Calibri" w:cs="Arial"/>
                <w:color w:val="auto"/>
                <w:sz w:val="30"/>
                <w:szCs w:val="24"/>
                <w:highlight w:val="none"/>
                <w:lang w:eastAsia="en-US"/>
              </w:rPr>
            </w:pPr>
            <w:r>
              <w:rPr>
                <w:rFonts w:ascii="Times New Roman" w:hAnsi="Calibri" w:cs="Arial"/>
                <w:color w:val="auto"/>
                <w:sz w:val="30"/>
                <w:szCs w:val="24"/>
                <w:highlight w:val="none"/>
                <w:lang w:eastAsia="en-US"/>
              </w:rPr>
            </w:r>
            <w:r/>
          </w:p>
        </w:tc>
      </w:tr>
    </w:tbl>
    <w:p>
      <w:pPr>
        <w:ind w:left="367"/>
        <w:spacing w:before="132"/>
        <w:rPr>
          <w:rFonts w:ascii="黑体" w:cs="Times New Roman"/>
          <w:color w:val="auto"/>
          <w:sz w:val="20"/>
          <w:szCs w:val="21"/>
          <w:highlight w:val="none"/>
        </w:rPr>
      </w:pPr>
      <w:r>
        <w:rPr>
          <w:rFonts w:ascii="黑体" w:cs="Times New Roman"/>
          <w:color w:val="auto"/>
          <w:sz w:val="20"/>
          <w:szCs w:val="21"/>
          <w:highlight w:val="none"/>
        </w:rPr>
      </w:r>
      <w:r/>
    </w:p>
    <w:p>
      <w:pPr>
        <w:ind w:left="470" w:right="748"/>
        <w:jc w:val="center"/>
        <w:spacing w:before="210"/>
        <w:rPr>
          <w:color w:val="auto"/>
          <w:sz w:val="32"/>
          <w:highlight w:val="none"/>
        </w:rPr>
      </w:pPr>
      <w:r>
        <w:rPr>
          <w:color w:val="auto"/>
          <w:sz w:val="32"/>
          <w:highlight w:val="none"/>
        </w:rPr>
        <w:t xml:space="preserve">二</w:t>
      </w:r>
      <w:r>
        <w:rPr>
          <w:rFonts w:hint="eastAsia"/>
          <w:color w:val="auto"/>
          <w:sz w:val="32"/>
          <w:highlight w:val="none"/>
        </w:rPr>
        <w:t xml:space="preserve">〇</w:t>
      </w:r>
      <w:r>
        <w:rPr>
          <w:color w:val="auto"/>
          <w:sz w:val="32"/>
          <w:highlight w:val="none"/>
        </w:rPr>
        <w:t xml:space="preserve">二</w:t>
      </w:r>
      <w:r>
        <w:rPr>
          <w:rFonts w:hint="eastAsia"/>
          <w:color w:val="auto"/>
          <w:sz w:val="32"/>
          <w:highlight w:val="none"/>
        </w:rPr>
        <w:t xml:space="preserve">五</w:t>
      </w:r>
      <w:r>
        <w:rPr>
          <w:color w:val="auto"/>
          <w:spacing w:val="-7"/>
          <w:sz w:val="32"/>
          <w:highlight w:val="none"/>
        </w:rPr>
        <w:t xml:space="preserve">年 月</w:t>
      </w:r>
      <w:r/>
    </w:p>
    <w:p>
      <w:pPr>
        <w:jc w:val="center"/>
        <w:rPr>
          <w:color w:val="auto"/>
          <w:sz w:val="32"/>
          <w:highlight w:val="none"/>
        </w:rPr>
        <w:sectPr>
          <w:headerReference w:type="default" r:id="rId9"/>
          <w:footerReference w:type="default" r:id="rId12"/>
          <w:footnotePr/>
          <w:endnotePr/>
          <w:type w:val="nextPage"/>
          <w:pgSz w:w="11910" w:h="16840" w:orient="portrait"/>
          <w:pgMar w:top="1360" w:right="1310" w:bottom="1406" w:left="1310" w:header="880" w:footer="999" w:gutter="0"/>
          <w:cols w:num="1" w:sep="0" w:space="720" w:equalWidth="1"/>
          <w:docGrid w:linePitch="360"/>
        </w:sectPr>
      </w:pPr>
      <w:r>
        <w:rPr>
          <w:color w:val="auto"/>
          <w:sz w:val="32"/>
          <w:highlight w:val="none"/>
        </w:rPr>
      </w:r>
      <w:r/>
    </w:p>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hAnsi="宋体" w:cs="宋体"/>
          <w:color w:val="auto"/>
          <w:sz w:val="21"/>
          <w:szCs w:val="21"/>
          <w:highlight w:val="none"/>
          <w:u w:val="single"/>
          <w:lang w:eastAsia="zh-CN"/>
        </w:rPr>
        <w:t xml:space="preserve"> </w:t>
      </w:r>
      <w:r>
        <w:rPr>
          <w:rFonts w:hint="eastAsia" w:hAnsi="宋体" w:cs="宋体"/>
          <w:color w:val="auto"/>
          <w:sz w:val="21"/>
          <w:szCs w:val="21"/>
          <w:highlight w:val="none"/>
          <w:u w:val="single"/>
          <w:lang w:val="en-US" w:eastAsia="zh-CN"/>
        </w:rPr>
        <w:t xml:space="preserve">江苏兆丰项目管理有限公司</w:t>
      </w:r>
      <w:r>
        <w:rPr>
          <w:rFonts w:hint="eastAsia" w:hAnsi="宋体" w:cs="宋体"/>
          <w:color w:val="auto"/>
          <w:sz w:val="21"/>
          <w:szCs w:val="21"/>
          <w:highlight w:val="none"/>
          <w:u w:val="single"/>
          <w:lang w:eastAsia="zh-CN"/>
        </w:rPr>
        <w:t xml:space="preserve"> </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val="en-US" w:eastAsia="zh-CN"/>
        </w:rPr>
        <w:t xml:space="preserve">    （采购编号）  </w:t>
      </w:r>
      <w:r>
        <w:rPr>
          <w:rFonts w:hint="eastAsia" w:ascii="宋体" w:hAnsi="宋体" w:cs="宋体"/>
          <w:color w:val="auto"/>
          <w:sz w:val="21"/>
          <w:szCs w:val="21"/>
          <w:highlight w:val="none"/>
        </w:rPr>
        <w:t xml:space="preserve">号政府采购文件及中标单位的投标文件和中标通知书，甲乙双方就甲方聘用乙方从事</w:t>
      </w:r>
      <w:r>
        <w:rPr>
          <w:rFonts w:hint="eastAsia" w:ascii="宋体"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（项目名称）</w:t>
      </w:r>
      <w:r>
        <w:rPr>
          <w:rFonts w:hint="eastAsia" w:ascii="宋体" w:hAnsi="宋体" w:cs="宋体"/>
          <w:color w:val="auto"/>
          <w:sz w:val="21"/>
          <w:szCs w:val="21"/>
          <w:highlight w:val="none"/>
        </w:rPr>
        <w:t xml:space="preserve">，签订本合同书。</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第一条  技术服务内容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1、主要工作内容</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（附报价清单）</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注：具体工作量如有变更，则按实际工作量按实结算。</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2、人员配置</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乙方为本项目组建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人项目组，项目负责人为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；技术负责人为：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。乙方须保证项目组成员的稳定，若要更换成员，必须经得甲方同意，更换的人员也须满足采购要求。若未经得甲方同意擅自更换成员，则视为违约。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3、服务要求：详见采购文件</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二、下列文件为本合同不可分割部分：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hAnsi="宋体" w:cs="宋体"/>
          <w:color w:val="auto"/>
          <w:sz w:val="21"/>
          <w:szCs w:val="21"/>
          <w:highlight w:val="none"/>
          <w:lang w:eastAsia="zh-CN"/>
        </w:rPr>
        <w:t xml:space="preserve">中标</w:t>
      </w:r>
      <w:r>
        <w:rPr>
          <w:rFonts w:hint="eastAsia" w:ascii="宋体" w:hAnsi="宋体" w:cs="宋体"/>
          <w:color w:val="auto"/>
          <w:sz w:val="21"/>
          <w:szCs w:val="21"/>
          <w:highlight w:val="none"/>
        </w:rPr>
        <w:t xml:space="preserve">通知书；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乙方的投标文件；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乙方在投标过程中所作的其它承诺、声明、书面澄清等；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招标文件及其附件；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 合同附件；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以上与本合同具有同等法律效力。</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bCs/>
          <w:color w:val="auto"/>
          <w:sz w:val="21"/>
          <w:highlight w:val="none"/>
        </w:rPr>
        <w:t xml:space="preserve">三、按下列要求完成技术服务工作</w:t>
      </w:r>
      <w:r>
        <w:rPr>
          <w:rFonts w:hint="eastAsia" w:ascii="宋体" w:hAnsi="宋体" w:cs="宋体"/>
          <w:color w:val="auto"/>
          <w:sz w:val="21"/>
          <w:szCs w:val="21"/>
          <w:highlight w:val="none"/>
        </w:rPr>
        <w:t xml:space="preserve"> </w:t>
      </w:r>
      <w:r/>
    </w:p>
    <w:p>
      <w:pPr>
        <w:ind w:firstLine="420"/>
        <w:jc w:val="both"/>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1、服务地点：</w:t>
      </w:r>
      <w:r>
        <w:rPr>
          <w:rFonts w:hint="eastAsia" w:hAnsi="宋体" w:cs="宋体"/>
          <w:color w:val="auto"/>
          <w:sz w:val="21"/>
          <w:szCs w:val="21"/>
          <w:highlight w:val="none"/>
          <w:lang w:val="en-US" w:eastAsia="zh-CN"/>
        </w:rPr>
        <w:t xml:space="preserve">甲方指定地点</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2、技术服务期限：</w:t>
      </w:r>
      <w:r>
        <w:rPr>
          <w:rFonts w:hint="eastAsia" w:hAnsi="宋体" w:cs="宋体"/>
          <w:color w:val="auto"/>
          <w:sz w:val="21"/>
          <w:szCs w:val="21"/>
          <w:highlight w:val="none"/>
          <w:lang w:eastAsia="zh-CN" w:bidi="ar"/>
        </w:rPr>
        <w:t xml:space="preserve">自合同签订后30个工作日内完成所有检测工作，安全性鉴定报告上传苏州市房屋安全鉴定管理信息系统，审核通过后出具安全性鉴定报告。</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3、技术服务进度：服务期内保持服务。</w:t>
      </w:r>
      <w:r/>
    </w:p>
    <w:p>
      <w:pPr>
        <w:jc w:val="both"/>
        <w:spacing w:line="360" w:lineRule="auto"/>
        <w:widowControl w:val="off"/>
        <w:rPr>
          <w:rFonts w:hint="eastAsia" w:ascii="宋体" w:hAnsi="宋体"/>
          <w:b/>
          <w:bCs/>
          <w:color w:val="auto"/>
          <w:sz w:val="21"/>
          <w:highlight w:val="none"/>
        </w:rPr>
      </w:pPr>
      <w:r>
        <w:rPr>
          <w:rFonts w:hint="eastAsia" w:ascii="宋体" w:hAnsi="宋体" w:cs="宋体"/>
          <w:color w:val="auto"/>
          <w:sz w:val="21"/>
          <w:szCs w:val="21"/>
          <w:highlight w:val="none"/>
        </w:rPr>
        <w:t xml:space="preserve">    </w:t>
      </w:r>
      <w:r>
        <w:rPr>
          <w:rFonts w:hint="eastAsia" w:ascii="宋体" w:hAnsi="宋体"/>
          <w:b/>
          <w:bCs/>
          <w:color w:val="auto"/>
          <w:sz w:val="21"/>
          <w:highlight w:val="none"/>
        </w:rPr>
        <w:t xml:space="preserve">四、价款、报酬及其支付方式：</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w:t>
      </w:r>
      <w:r>
        <w:rPr>
          <w:rFonts w:hint="eastAsia" w:ascii="宋体" w:hAnsi="宋体"/>
          <w:color w:val="auto"/>
          <w:sz w:val="21"/>
          <w:highlight w:val="none"/>
          <w:lang w:eastAsia="zh-Hans"/>
        </w:rPr>
        <w:t xml:space="preserve">本合同</w:t>
      </w:r>
      <w:r>
        <w:rPr>
          <w:rFonts w:hint="eastAsia" w:ascii="宋体" w:hAnsi="宋体"/>
          <w:color w:val="auto"/>
          <w:sz w:val="21"/>
          <w:highlight w:val="none"/>
        </w:rPr>
        <w:t xml:space="preserve">总</w:t>
      </w:r>
      <w:r>
        <w:rPr>
          <w:rFonts w:hint="eastAsia" w:ascii="宋体" w:hAnsi="宋体"/>
          <w:color w:val="auto"/>
          <w:sz w:val="21"/>
          <w:highlight w:val="none"/>
          <w:lang w:eastAsia="zh-Hans"/>
        </w:rPr>
        <w:t xml:space="preserve">金额为</w:t>
      </w:r>
      <w:r>
        <w:rPr>
          <w:rFonts w:ascii="宋体" w:hAnsi="宋体"/>
          <w:color w:val="auto"/>
          <w:sz w:val="21"/>
          <w:highlight w:val="none"/>
          <w:u w:val="single"/>
          <w:lang w:eastAsia="zh-Hans"/>
        </w:rPr>
        <w:t xml:space="preserve"> </w:t>
      </w:r>
      <w:r>
        <w:rPr>
          <w:rFonts w:hint="eastAsia" w:ascii="宋体" w:hAnsi="宋体"/>
          <w:color w:val="auto"/>
          <w:sz w:val="21"/>
          <w:highlight w:val="none"/>
          <w:u w:val="single"/>
        </w:rPr>
        <w:t xml:space="preserve">    （大写：    ）</w:t>
      </w:r>
      <w:r>
        <w:rPr>
          <w:rFonts w:ascii="宋体" w:hAnsi="宋体"/>
          <w:color w:val="auto"/>
          <w:sz w:val="21"/>
          <w:highlight w:val="none"/>
          <w:u w:val="single"/>
          <w:lang w:eastAsia="zh-Hans"/>
        </w:rPr>
        <w:t xml:space="preserve"> </w:t>
      </w:r>
      <w:r>
        <w:rPr>
          <w:rFonts w:hint="eastAsia" w:ascii="宋体" w:hAnsi="宋体"/>
          <w:color w:val="auto"/>
          <w:sz w:val="21"/>
          <w:highlight w:val="none"/>
          <w:lang w:eastAsia="zh-Hans"/>
        </w:rPr>
        <w:t xml:space="preserve">元</w:t>
      </w:r>
      <w:r>
        <w:rPr>
          <w:rFonts w:hint="eastAsia" w:ascii="宋体" w:hAnsi="宋体"/>
          <w:color w:val="auto"/>
          <w:sz w:val="21"/>
          <w:highlight w:val="none"/>
        </w:rPr>
        <w:t xml:space="preserve">整 ，</w:t>
      </w:r>
      <w:r>
        <w:rPr>
          <w:rFonts w:hint="eastAsia" w:ascii="宋体" w:hAnsi="宋体" w:cs="宋体"/>
          <w:color w:val="auto"/>
          <w:sz w:val="21"/>
          <w:highlight w:val="none"/>
          <w:u w:val="single"/>
        </w:rPr>
        <w:t xml:space="preserve">￥        </w:t>
      </w:r>
      <w:r>
        <w:rPr>
          <w:rFonts w:hint="eastAsia" w:ascii="宋体" w:hAnsi="宋体" w:cs="宋体"/>
          <w:color w:val="auto"/>
          <w:sz w:val="21"/>
          <w:highlight w:val="none"/>
        </w:rPr>
        <w:t xml:space="preserve"> 。本合同单价为</w:t>
      </w:r>
      <w:r>
        <w:rPr>
          <w:rFonts w:hint="eastAsia" w:ascii="宋体" w:hAnsi="宋体" w:cs="宋体"/>
          <w:color w:val="auto"/>
          <w:sz w:val="21"/>
          <w:highlight w:val="none"/>
          <w:u w:val="single"/>
        </w:rPr>
        <w:t xml:space="preserve">     </w:t>
      </w:r>
      <w:r>
        <w:rPr>
          <w:rFonts w:hint="eastAsia" w:ascii="宋体" w:hAnsi="宋体" w:cs="宋体"/>
          <w:color w:val="auto"/>
          <w:sz w:val="21"/>
          <w:highlight w:val="none"/>
        </w:rPr>
        <w:t xml:space="preserve">元/平方，最终结算金额按实际完成工作量，按实结算，结算金额超过合同金额的按合同金额结算。</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olor w:val="auto"/>
          <w:sz w:val="21"/>
          <w:highlight w:val="none"/>
        </w:rPr>
        <w:t xml:space="preserve">以上价格</w:t>
      </w:r>
      <w:r>
        <w:rPr>
          <w:rFonts w:hint="eastAsia" w:ascii="宋体" w:hAnsi="宋体" w:cs="宋体"/>
          <w:bCs/>
          <w:color w:val="auto"/>
          <w:sz w:val="21"/>
          <w:szCs w:val="21"/>
          <w:highlight w:val="none"/>
        </w:rPr>
        <w:t xml:space="preserve">包括完成该项工作所需全部服务和货物的检验检测、鉴定费、知识产权、耗材、交通、通讯、设备、工具、各种税费、人工、保险、劳保、修补、维护、利润、税金、社保、政策性文件规定及合同包含的所有风险、责任等各项应有费用。乙方已将所有在合同实施期间因市场变化因素而变动进行调整的情况包含在内，甲方不再为此承担任何费用和责任，除非因特殊原因并经双方协商同意，乙方不得再要求追加任何费用。同时，除非合同条款中另有规定，否则，本合同价格实施期间不因市场变化因素而变动。</w:t>
      </w:r>
      <w:r/>
    </w:p>
    <w:p>
      <w:pPr>
        <w:numPr>
          <w:ilvl w:val="0"/>
          <w:numId w:val="4"/>
        </w:numPr>
        <w:ind w:firstLine="420"/>
        <w:jc w:val="both"/>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highlight w:val="none"/>
        </w:rPr>
        <w:t xml:space="preserve">付款方式：</w:t>
      </w:r>
      <w:r>
        <w:rPr>
          <w:rFonts w:hint="eastAsia" w:ascii="宋体" w:hAnsi="宋体" w:cs="宋体"/>
          <w:color w:val="000000" w:themeColor="text1"/>
          <w:sz w:val="21"/>
          <w:szCs w:val="21"/>
          <w:highlight w:val="none"/>
        </w:rPr>
        <w:t xml:space="preserve">双方签订合同并开工后，支付合同总金额的</w:t>
      </w:r>
      <w:r>
        <w:rPr>
          <w:rFonts w:hint="eastAsia"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rPr>
        <w:t xml:space="preserve">0%为预付款；待整个项目完成并经甲方或相关单位验收合格后，乙方向甲方提供下列(A、B）单据后支付至结算价100%。</w:t>
      </w:r>
      <w:r>
        <w:rPr>
          <w:color w:val="000000" w:themeColor="text1"/>
          <w:highlight w:val="none"/>
        </w:rPr>
      </w:r>
    </w:p>
    <w:p>
      <w:pPr>
        <w:numPr>
          <w:ilvl w:val="0"/>
          <w:numId w:val="0"/>
        </w:numPr>
        <w:jc w:val="both"/>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A、合格的发票；</w:t>
      </w:r>
      <w:r>
        <w:rPr>
          <w:color w:val="000000" w:themeColor="text1"/>
          <w:highlight w:val="none"/>
        </w:rP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B、由供需双方签章的《政府采购履约验收书》。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5、付款方式：银行转账。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五、双方责任：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（1）甲方指派人员对乙方开展安全检测服务进行全过程配合。</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（2）甲方对乙方派出的服务人员加强管理，对服务不到位或工作不负责任者，有权要求乙方调换人员。</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（1）乙方针对甲方委托要求，组成专项检查组，明确一名负责人加强服务管理，并配备相应的检查工具、联络通讯器材等硬件设施。</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（2）乙方对甲方委托的检测服务，及时发现安全隐患和管理缺陷，汇总专项检查情况，出具鉴定报告。</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（3）乙方根据项目情况开展检测服务，选派专业对口的技术骨干人员或专家实施本项目。</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（4）乙方加强对派出服务人员培训与考核管理，征询甲方对乙方提供服务的意见，加强沟通与联系，保持信息畅通。对不能胜任或反映意见大的人员进行更换。</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（5）乙方加强对派出的人员安全风险管控，承担检查人员的一切安全风险。</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highlight w:val="none"/>
        </w:rPr>
        <w:t xml:space="preserve">六、</w:t>
      </w:r>
      <w:r>
        <w:rPr>
          <w:rFonts w:hint="eastAsia" w:ascii="宋体" w:hAnsi="宋体" w:cs="宋体"/>
          <w:b/>
          <w:bCs/>
          <w:color w:val="auto"/>
          <w:sz w:val="21"/>
          <w:szCs w:val="21"/>
          <w:highlight w:val="none"/>
        </w:rPr>
        <w:t xml:space="preserve">税费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jc w:val="both"/>
        <w:spacing w:line="360" w:lineRule="auto"/>
        <w:widowControl w:val="off"/>
        <w:rPr>
          <w:rFonts w:hint="eastAsia" w:ascii="宋体" w:hAnsi="宋体" w:cs="宋体"/>
          <w:color w:val="auto"/>
          <w:sz w:val="21"/>
          <w:highlight w:val="none"/>
        </w:rPr>
      </w:pPr>
      <w:r>
        <w:rPr>
          <w:rFonts w:hint="eastAsia" w:ascii="宋体" w:hAnsi="宋体" w:cs="宋体"/>
          <w:b/>
          <w:bCs/>
          <w:color w:val="auto"/>
          <w:sz w:val="21"/>
          <w:highlight w:val="none"/>
        </w:rPr>
        <w:t xml:space="preserve">七、质量要求及验收</w:t>
      </w:r>
      <w:r/>
    </w:p>
    <w:p>
      <w:pPr>
        <w:ind w:firstLine="420"/>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highlight w:val="none"/>
        </w:rPr>
        <w:t xml:space="preserve">1、质量要求：各项成果应严格按照招标文件、行业规范、技术标准执行，确保满足相关要求。</w:t>
      </w:r>
      <w:r/>
    </w:p>
    <w:p>
      <w:pPr>
        <w:ind w:firstLine="420"/>
        <w:jc w:val="both"/>
        <w:spacing w:line="360" w:lineRule="auto"/>
        <w:rPr>
          <w:rFonts w:hint="eastAsia" w:ascii="宋体" w:hAnsi="宋体" w:cs="宋体"/>
          <w:bCs/>
          <w:color w:val="auto"/>
          <w:sz w:val="21"/>
          <w:szCs w:val="21"/>
          <w:highlight w:val="none"/>
        </w:rPr>
      </w:pPr>
      <w:r>
        <w:rPr>
          <w:rFonts w:hint="eastAsia" w:ascii="宋体" w:hAnsi="宋体" w:cs="宋体"/>
          <w:color w:val="auto"/>
          <w:sz w:val="21"/>
          <w:highlight w:val="none"/>
        </w:rPr>
        <w:t xml:space="preserve">2、验收：</w:t>
      </w:r>
      <w:r/>
    </w:p>
    <w:p>
      <w:pPr>
        <w:ind w:firstLine="420"/>
        <w:jc w:val="both"/>
        <w:spacing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（1）验收标准：根据采购文件要求及相关法律、法规进行验收通过。</w:t>
      </w:r>
      <w:r/>
    </w:p>
    <w:p>
      <w:pPr>
        <w:ind w:firstLine="420"/>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highlight w:val="none"/>
        </w:rPr>
        <w:t xml:space="preserve">（2）验收方式：</w:t>
      </w:r>
      <w:r>
        <w:rPr>
          <w:rFonts w:hint="eastAsia" w:ascii="宋体" w:hAnsi="宋体" w:cs="宋体"/>
          <w:color w:val="auto"/>
          <w:sz w:val="21"/>
          <w:szCs w:val="21"/>
          <w:highlight w:val="none"/>
          <w:lang w:val="zh-CN"/>
        </w:rPr>
        <w:t xml:space="preserve">由采购人进行验收，</w:t>
      </w:r>
      <w:r>
        <w:rPr>
          <w:rFonts w:hint="eastAsia" w:ascii="宋体" w:hAnsi="宋体" w:cs="宋体"/>
          <w:color w:val="auto"/>
          <w:sz w:val="21"/>
          <w:szCs w:val="21"/>
          <w:highlight w:val="none"/>
        </w:rPr>
        <w:t xml:space="preserve">项目结束后采购人对中标单位提供的成果</w:t>
      </w:r>
      <w:r>
        <w:rPr>
          <w:rFonts w:hint="eastAsia" w:ascii="宋体" w:hAnsi="宋体" w:cs="宋体"/>
          <w:color w:val="auto"/>
          <w:sz w:val="21"/>
          <w:szCs w:val="21"/>
          <w:highlight w:val="none"/>
          <w:lang w:val="zh-CN"/>
        </w:rPr>
        <w:t xml:space="preserve">进行</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验收。采购人向供应商发出《</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采购履约验收通知单》，验收完成后形成《</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采购履约验收书》。</w:t>
      </w:r>
      <w:r/>
    </w:p>
    <w:p>
      <w:pPr>
        <w:ind w:firstLine="422"/>
        <w:jc w:val="both"/>
        <w:spacing w:line="360" w:lineRule="auto"/>
        <w:widowControl w:val="off"/>
        <w:rPr>
          <w:rFonts w:hint="eastAsia" w:ascii="宋体" w:hAnsi="宋体" w:cs="宋体"/>
          <w:b/>
          <w:bCs/>
          <w:color w:val="auto"/>
          <w:sz w:val="21"/>
          <w:highlight w:val="none"/>
        </w:rPr>
      </w:pPr>
      <w:r>
        <w:rPr>
          <w:rFonts w:hint="eastAsia" w:ascii="宋体" w:hAnsi="宋体" w:cs="宋体"/>
          <w:b/>
          <w:bCs/>
          <w:color w:val="auto"/>
          <w:sz w:val="21"/>
          <w:highlight w:val="none"/>
        </w:rPr>
        <w:t xml:space="preserve">八、风险责任的承担：</w:t>
      </w:r>
      <w:r/>
    </w:p>
    <w:p>
      <w:pPr>
        <w:ind w:firstLine="420"/>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highlight w:val="none"/>
        </w:rPr>
        <w:t xml:space="preserve">乙双需按期完成所承担的工作，若因乙未按期完成应承担的工作造成项目延误，其风险责任由违约方承担。若因非人为因素造成的项目延误，其责任双方共同承担。</w:t>
      </w:r>
      <w:r/>
    </w:p>
    <w:p>
      <w:pPr>
        <w:ind w:firstLine="422"/>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九、违约责任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在合同生效后，甲方要求解除合同的，应向乙方偿付合同总价款5%的违约金，违约金不足以补偿损失的，乙方有权要求甲方补足。</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（1）合同签订后乙方应立即安排人员到位并开展工作，如人员不到位或擅自更换人员，向甲方偿付合同总价款5%的违约金。</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（2）乙方不能履行合同或提交的服务成果不符合要求的，甲方有权解除合同，乙方向甲方偿付合同总价款5%的违约金，违约金不足以补偿损失的甲方有权要求乙方补足。</w:t>
      </w:r>
      <w:r/>
    </w:p>
    <w:p>
      <w:pPr>
        <w:ind w:firstLine="422"/>
        <w:jc w:val="both"/>
        <w:spacing w:line="360" w:lineRule="auto"/>
        <w:widowControl w:val="off"/>
        <w:rPr>
          <w:rFonts w:hint="eastAsia" w:ascii="宋体" w:hAnsi="宋体"/>
          <w:b/>
          <w:bCs/>
          <w:color w:val="auto"/>
          <w:sz w:val="21"/>
          <w:highlight w:val="none"/>
        </w:rPr>
      </w:pPr>
      <w:r>
        <w:rPr>
          <w:rFonts w:hint="eastAsia" w:ascii="宋体" w:hAnsi="宋体"/>
          <w:b/>
          <w:bCs/>
          <w:color w:val="auto"/>
          <w:sz w:val="21"/>
          <w:highlight w:val="none"/>
        </w:rPr>
        <w:t xml:space="preserve">十、索赔</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w:t>
      </w:r>
      <w:r>
        <w:rPr>
          <w:rFonts w:hint="eastAsia" w:hAnsi="宋体"/>
          <w:color w:val="auto"/>
          <w:sz w:val="21"/>
          <w:highlight w:val="none"/>
          <w:lang w:eastAsia="zh-CN"/>
        </w:rPr>
        <w:t xml:space="preserve">、</w:t>
      </w:r>
      <w:r>
        <w:rPr>
          <w:rFonts w:hint="eastAsia" w:ascii="宋体" w:hAnsi="宋体"/>
          <w:color w:val="auto"/>
          <w:sz w:val="21"/>
          <w:highlight w:val="none"/>
        </w:rPr>
        <w:t xml:space="preserve">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同意赔偿甲方生效司法或行政文书所确认的金额。</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2</w:t>
      </w:r>
      <w:r>
        <w:rPr>
          <w:rFonts w:hint="eastAsia" w:hAnsi="宋体"/>
          <w:color w:val="auto"/>
          <w:sz w:val="21"/>
          <w:highlight w:val="none"/>
          <w:lang w:eastAsia="zh-CN"/>
        </w:rPr>
        <w:t xml:space="preserve">、</w:t>
      </w:r>
      <w:r>
        <w:rPr>
          <w:rFonts w:hint="eastAsia" w:ascii="宋体" w:hAnsi="宋体"/>
          <w:color w:val="auto"/>
          <w:sz w:val="21"/>
          <w:highlight w:val="none"/>
        </w:rPr>
        <w:t xml:space="preserve">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十一、不可抗力</w:t>
      </w:r>
      <w:r/>
    </w:p>
    <w:p>
      <w:pPr>
        <w:ind w:firstLine="420"/>
        <w:jc w:val="both"/>
        <w:spacing w:line="360" w:lineRule="auto"/>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因不可抗力不能履行合同的，根据不可抗力的影响，部分或者全部免除责任。但合同一方迟延履行后发生不可抗力的，不能免除责任。</w:t>
      </w:r>
      <w:r/>
    </w:p>
    <w:p>
      <w:pPr>
        <w:ind w:firstLine="420"/>
        <w:jc w:val="both"/>
        <w:spacing w:line="360" w:lineRule="auto"/>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合同一方因不可抗力不能履行合同的，应当及时通知对方，以减轻可能给对方造成的损失，并应当在合理期限内提供证明。</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3、本条所述的“不可抗力”系指下列甲、乙双方无法控制、不可预见的事件，但不包括甲、乙双方的违约或疏忽。这些事件包括：战争、严重火灾、洪水、台风、地震以及其他甲方和乙方商定的事件。</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十二、 合同的解除和转让</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1、合同的解除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（1）甲乙双方协商一致可以解除合同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 因不可抗力致使不能实现合同目的，未受不可抗力影响的一方有权解除合同；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 因合同一方违约导致合同不能履行，另一方有权解除合同；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2、合同的转让</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十三、争议处置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在执行本合同中所发生的一切争议，各方应通过友好协商的办法进行解决，如协商不能解决的，有关当事方可提请仲裁。</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仲裁应根据《中华人民共和国仲裁法》的规定向甲方所在地有管辖权的仲裁机构申请仲裁。</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仲裁裁决为最终裁决，对当事各方均有约束力。</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十四、合同生效及其它：</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本合同经甲乙双方签字并盖章后方生效。</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合同在执行过程中出现的未尽事宜，双方在不违背本合同的原则下协商解决，协商结果以书面形式记录在案，作为本合同附件，与本合同具有同等效力。</w:t>
      </w:r>
      <w:r/>
    </w:p>
    <w:p>
      <w:pPr>
        <w:ind w:firstLine="422"/>
        <w:jc w:val="both"/>
        <w:spacing w:line="360" w:lineRule="auto"/>
        <w:widowControl w:val="off"/>
        <w:rPr>
          <w:rFonts w:hint="eastAsia" w:ascii="宋体" w:hAnsi="宋体"/>
          <w:b/>
          <w:bCs/>
          <w:color w:val="auto"/>
          <w:sz w:val="21"/>
          <w:highlight w:val="none"/>
        </w:rPr>
      </w:pPr>
      <w:r>
        <w:rPr>
          <w:rFonts w:hint="eastAsia" w:ascii="宋体" w:hAnsi="宋体" w:cs="宋体"/>
          <w:b/>
          <w:bCs/>
          <w:color w:val="auto"/>
          <w:sz w:val="21"/>
          <w:szCs w:val="21"/>
          <w:highlight w:val="none"/>
        </w:rPr>
        <w:t xml:space="preserve">十五、</w:t>
      </w:r>
      <w:r>
        <w:rPr>
          <w:rFonts w:hint="eastAsia" w:ascii="宋体" w:hAnsi="宋体"/>
          <w:b/>
          <w:bCs/>
          <w:color w:val="auto"/>
          <w:sz w:val="21"/>
          <w:highlight w:val="none"/>
        </w:rPr>
        <w:t xml:space="preserve">特别条款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双方签约人为各自法定代表人或被授权代表。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pStyle w:val="762"/>
        <w:rPr>
          <w:rFonts w:hint="eastAsia" w:ascii="宋体" w:hAnsi="宋体" w:cs="宋体"/>
          <w:color w:val="auto"/>
          <w:szCs w:val="21"/>
          <w:highlight w:val="none"/>
        </w:rPr>
      </w:pPr>
      <w:r>
        <w:rPr>
          <w:rFonts w:hint="eastAsia" w:ascii="宋体" w:hAnsi="宋体" w:cs="宋体"/>
          <w:color w:val="auto"/>
          <w:szCs w:val="21"/>
          <w:highlight w:val="none"/>
        </w:rPr>
      </w:r>
      <w:r/>
    </w:p>
    <w:p>
      <w:pPr>
        <w:pStyle w:val="762"/>
        <w:rPr>
          <w:rFonts w:hint="eastAsia" w:ascii="宋体" w:hAnsi="宋体" w:cs="宋体"/>
          <w:color w:val="auto"/>
          <w:szCs w:val="21"/>
          <w:highlight w:val="none"/>
        </w:rPr>
      </w:pPr>
      <w:r>
        <w:rPr>
          <w:rFonts w:hint="eastAsia" w:ascii="宋体" w:hAnsi="宋体" w:cs="宋体"/>
          <w:color w:val="auto"/>
          <w:szCs w:val="21"/>
          <w:highlight w:val="none"/>
        </w:rPr>
      </w:r>
      <w:r/>
    </w:p>
    <w:tbl>
      <w:tblPr>
        <w:tblStyle w:val="758"/>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46" w:type="dxa"/>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代表人或委</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both"/>
        <w:spacing w:line="360" w:lineRule="auto"/>
        <w:rPr>
          <w:rFonts w:hint="eastAsia" w:hAnsi="宋体"/>
          <w:color w:val="auto"/>
          <w:sz w:val="21"/>
          <w:szCs w:val="21"/>
          <w:highlight w:val="none"/>
        </w:rPr>
      </w:pPr>
      <w:r>
        <w:rPr>
          <w:rFonts w:hint="eastAsia" w:hAnsi="宋体"/>
          <w:color w:val="auto"/>
          <w:sz w:val="21"/>
          <w:szCs w:val="21"/>
          <w:highlight w:val="none"/>
        </w:rPr>
      </w:r>
      <w:r/>
    </w:p>
    <w:p>
      <w:pPr>
        <w:jc w:val="both"/>
        <w:spacing w:line="360" w:lineRule="auto"/>
        <w:rPr>
          <w:rFonts w:hint="eastAsia" w:hAnsi="宋体"/>
          <w:color w:val="auto"/>
          <w:sz w:val="21"/>
          <w:szCs w:val="21"/>
          <w:highlight w:val="none"/>
        </w:rPr>
      </w:pPr>
      <w:r>
        <w:rPr>
          <w:rFonts w:hint="eastAsia" w:hAnsi="宋体"/>
          <w:color w:val="auto"/>
          <w:sz w:val="21"/>
          <w:szCs w:val="21"/>
          <w:highlight w:val="none"/>
        </w:rPr>
      </w:r>
      <w:r/>
    </w:p>
    <w:p>
      <w:pPr>
        <w:rPr>
          <w:rFonts w:hint="eastAsia" w:hAnsi="宋体"/>
          <w:b/>
          <w:bCs/>
          <w:color w:val="auto"/>
          <w:sz w:val="24"/>
          <w:szCs w:val="24"/>
          <w:highlight w:val="none"/>
        </w:rPr>
      </w:pPr>
      <w:r>
        <w:rPr>
          <w:rFonts w:hint="eastAsia" w:hAnsi="宋体"/>
          <w:b/>
          <w:bCs/>
          <w:color w:val="auto"/>
          <w:sz w:val="24"/>
          <w:szCs w:val="24"/>
          <w:highlight w:val="none"/>
        </w:rPr>
        <w:br w:type="page" w:clear="all"/>
      </w:r>
      <w:r/>
    </w:p>
    <w:p>
      <w:pPr>
        <w:rPr>
          <w:rFonts w:hAnsi="宋体"/>
          <w:b/>
          <w:bCs/>
          <w:color w:val="auto"/>
          <w:sz w:val="24"/>
          <w:szCs w:val="24"/>
          <w:highlight w:val="none"/>
        </w:rPr>
      </w:pPr>
      <w:r>
        <w:rPr>
          <w:rFonts w:hint="eastAsia" w:hAnsi="宋体"/>
          <w:b/>
          <w:bCs/>
          <w:color w:val="auto"/>
          <w:sz w:val="24"/>
          <w:szCs w:val="24"/>
          <w:highlight w:val="none"/>
        </w:rPr>
        <w:t xml:space="preserve">附件1</w:t>
      </w:r>
      <w:r/>
    </w:p>
    <w:p>
      <w:pPr>
        <w:ind w:left="1410" w:firstLine="788"/>
        <w:spacing w:before="263" w:line="223" w:lineRule="auto"/>
        <w:widowControl/>
        <w:rPr>
          <w:rFonts w:ascii="微软雅黑" w:hAnsi="微软雅黑" w:eastAsia="微软雅黑" w:cs="微软雅黑"/>
          <w:color w:val="auto"/>
          <w:sz w:val="36"/>
          <w:szCs w:val="36"/>
          <w:highlight w:val="none"/>
        </w:rPr>
        <w:outlineLvl w:val="0"/>
      </w:pPr>
      <w:r>
        <w:rPr>
          <w:rFonts w:ascii="微软雅黑" w:hAnsi="微软雅黑" w:eastAsia="微软雅黑" w:cs="微软雅黑"/>
          <w:color w:val="auto"/>
          <w:spacing w:val="17"/>
          <w:sz w:val="36"/>
          <w:szCs w:val="36"/>
          <w:highlight w:val="none"/>
        </w:rPr>
        <w:t xml:space="preserve">政府采购履约验收通知单</w:t>
      </w:r>
      <w:r/>
    </w:p>
    <w:p>
      <w:pPr>
        <w:ind w:left="85"/>
        <w:spacing w:before="216" w:line="214" w:lineRule="auto"/>
        <w:widowControl/>
        <w:rPr>
          <w:rFonts w:hAnsi="宋体"/>
          <w:color w:val="auto"/>
          <w:sz w:val="23"/>
          <w:szCs w:val="23"/>
          <w:highlight w:val="none"/>
          <w:lang w:eastAsia="en-US"/>
        </w:rPr>
      </w:pPr>
      <w:r>
        <w:rPr>
          <w:rFonts w:hAnsi="宋体"/>
          <w:color w:val="auto"/>
          <w:spacing w:val="9"/>
          <w:sz w:val="23"/>
          <w:szCs w:val="23"/>
          <w:highlight w:val="none"/>
          <w:lang w:eastAsia="en-US"/>
        </w:rPr>
        <w:t xml:space="preserve">供应商：</w:t>
      </w:r>
      <w:r/>
    </w:p>
    <w:p>
      <w:pPr>
        <w:spacing w:line="44" w:lineRule="exact"/>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bl>
      <w:tblPr>
        <w:tblStyle w:val="75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7"/>
              <w:spacing w:before="247" w:line="213"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7"/>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5"/>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128" w:right="2893" w:firstLine="183"/>
              <w:spacing w:before="75" w:line="507" w:lineRule="auto"/>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rFonts w:hAnsi="宋体"/>
          <w:color w:val="auto"/>
          <w:sz w:val="24"/>
          <w:szCs w:val="24"/>
          <w:highlight w:val="none"/>
        </w:rPr>
        <w:sectPr>
          <w:headerReference w:type="default" r:id="rId10"/>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rPr>
          <w:rFonts w:hAnsi="宋体"/>
          <w:b/>
          <w:bCs/>
          <w:color w:val="auto"/>
          <w:highlight w:val="none"/>
        </w:rPr>
      </w:pPr>
      <w:r>
        <w:rPr>
          <w:rFonts w:hint="eastAsia" w:hAnsi="宋体"/>
          <w:b/>
          <w:bCs/>
          <w:color w:val="auto"/>
          <w:highlight w:val="none"/>
        </w:rPr>
        <w:t xml:space="preserve">附件2：</w:t>
      </w:r>
      <w:r/>
    </w:p>
    <w:p>
      <w:pPr>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758"/>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采购人</w:t>
            </w:r>
            <w:r/>
          </w:p>
        </w:tc>
        <w:tc>
          <w:tcPr>
            <w:tcW w:w="1714"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项目名称</w:t>
            </w:r>
            <w:r/>
          </w:p>
        </w:tc>
        <w:tc>
          <w:tcPr>
            <w:tcW w:w="2476"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gridSpan w:val="2"/>
            <w:tcW w:w="3900"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合同名称</w:t>
            </w:r>
            <w:r/>
          </w:p>
        </w:tc>
        <w:tc>
          <w:tcPr>
            <w:tcW w:w="2694"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45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供应商</w:t>
            </w:r>
            <w:r/>
          </w:p>
        </w:tc>
        <w:tc>
          <w:tcPr>
            <w:tcW w:w="1714"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项目及合同编号</w:t>
            </w:r>
            <w:r/>
          </w:p>
        </w:tc>
        <w:tc>
          <w:tcPr>
            <w:tcW w:w="2476"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gridSpan w:val="2"/>
            <w:tcW w:w="3900"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合同金额</w:t>
            </w:r>
            <w:r/>
          </w:p>
        </w:tc>
        <w:tc>
          <w:tcPr>
            <w:tcW w:w="2694"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45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分期（段）验收</w:t>
            </w:r>
            <w:r/>
          </w:p>
        </w:tc>
        <w:tc>
          <w:tcPr>
            <w:tcW w:w="1714"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是□   否□</w:t>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分期（段）情况</w:t>
            </w:r>
            <w:r/>
          </w:p>
        </w:tc>
        <w:tc>
          <w:tcPr>
            <w:gridSpan w:val="4"/>
            <w:tcW w:w="9070" w:type="dxa"/>
            <w:vAlign w:val="center"/>
            <w:textDirection w:val="lrTb"/>
            <w:noWrap w:val="false"/>
          </w:tcPr>
          <w:p>
            <w:pPr>
              <w:jc w:val="center"/>
              <w:widowControl/>
              <w:rPr>
                <w:rFonts w:ascii="Arial" w:hAnsi="宋体" w:cs="Arial"/>
                <w:color w:val="auto"/>
                <w:sz w:val="21"/>
                <w:szCs w:val="21"/>
                <w:highlight w:val="none"/>
              </w:rPr>
            </w:pPr>
            <w:r>
              <w:rPr>
                <w:rFonts w:hint="eastAsia" w:ascii="Arial" w:hAnsi="宋体" w:cs="Arial"/>
                <w:color w:val="auto"/>
                <w:sz w:val="21"/>
                <w:szCs w:val="21"/>
                <w:highlight w:val="none"/>
              </w:rPr>
              <w:t xml:space="preserve">共分   期（段），此为第   期（段）验收</w:t>
            </w:r>
            <w:r/>
          </w:p>
        </w:tc>
      </w:tr>
      <w:tr>
        <w:trPr>
          <w:trHeight w:val="45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验收时间</w:t>
            </w:r>
            <w:r/>
          </w:p>
        </w:tc>
        <w:tc>
          <w:tcPr>
            <w:tcW w:w="1714"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验收地点</w:t>
            </w:r>
            <w:r/>
          </w:p>
        </w:tc>
        <w:tc>
          <w:tcPr>
            <w:tcW w:w="2476"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gridSpan w:val="2"/>
            <w:tcW w:w="3900"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验收组织形式</w:t>
            </w:r>
            <w:r/>
          </w:p>
        </w:tc>
        <w:tc>
          <w:tcPr>
            <w:tcW w:w="2694" w:type="dxa"/>
            <w:vAlign w:val="center"/>
            <w:textDirection w:val="lrTb"/>
            <w:noWrap w:val="false"/>
          </w:tcPr>
          <w:p>
            <w:pPr>
              <w:jc w:val="both"/>
              <w:widowControl/>
              <w:rPr>
                <w:rFonts w:ascii="Arial" w:hAnsi="宋体" w:cs="Arial"/>
                <w:color w:val="auto"/>
                <w:sz w:val="21"/>
                <w:szCs w:val="21"/>
                <w:highlight w:val="none"/>
              </w:rPr>
            </w:pPr>
            <w:r>
              <w:rPr>
                <w:rFonts w:hint="eastAsia" w:ascii="Arial" w:hAnsi="宋体" w:cs="Arial"/>
                <w:color w:val="auto"/>
                <w:sz w:val="21"/>
                <w:szCs w:val="21"/>
                <w:highlight w:val="none"/>
              </w:rPr>
              <w:t xml:space="preserve">□自行简易验收</w:t>
            </w:r>
            <w:r/>
          </w:p>
          <w:p>
            <w:pPr>
              <w:jc w:val="both"/>
              <w:widowControl/>
              <w:rPr>
                <w:rFonts w:ascii="Arial" w:hAnsi="宋体" w:cs="Arial"/>
                <w:color w:val="auto"/>
                <w:sz w:val="21"/>
                <w:szCs w:val="21"/>
                <w:highlight w:val="none"/>
              </w:rPr>
            </w:pPr>
            <w:r>
              <w:rPr>
                <w:rFonts w:hint="eastAsia" w:ascii="Arial" w:hAnsi="宋体" w:cs="Arial"/>
                <w:color w:val="auto"/>
                <w:sz w:val="21"/>
                <w:szCs w:val="21"/>
                <w:highlight w:val="none"/>
              </w:rPr>
              <w:t xml:space="preserve">□验收小组验收</w:t>
            </w:r>
            <w:r/>
          </w:p>
          <w:p>
            <w:pPr>
              <w:jc w:val="both"/>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验收内容</w:t>
            </w:r>
            <w:r/>
          </w:p>
        </w:tc>
        <w:tc>
          <w:tcPr>
            <w:tcW w:w="1714"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服务质量</w:t>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服务进度</w:t>
            </w:r>
            <w:r/>
          </w:p>
        </w:tc>
        <w:tc>
          <w:tcPr>
            <w:tcW w:w="247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人员、设备 配备情况</w:t>
            </w:r>
            <w:r/>
          </w:p>
        </w:tc>
        <w:tc>
          <w:tcPr>
            <w:tcW w:w="170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行业、安全标准</w:t>
            </w:r>
            <w:r/>
          </w:p>
        </w:tc>
        <w:tc>
          <w:tcPr>
            <w:tcW w:w="219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项目需求、服务承诺</w:t>
            </w:r>
            <w:r/>
          </w:p>
        </w:tc>
        <w:tc>
          <w:tcPr>
            <w:tcW w:w="2694" w:type="dxa"/>
            <w:vAlign w:val="center"/>
            <w:textDirection w:val="lrTb"/>
            <w:noWrap w:val="false"/>
          </w:tcPr>
          <w:p>
            <w:pPr>
              <w:jc w:val="center"/>
              <w:widowControl/>
              <w:rPr>
                <w:rFonts w:ascii="Arial" w:hAnsi="宋体" w:cs="Arial"/>
                <w:color w:val="auto"/>
                <w:sz w:val="21"/>
                <w:szCs w:val="21"/>
                <w:highlight w:val="none"/>
              </w:rPr>
            </w:pPr>
            <w:r>
              <w:rPr>
                <w:rFonts w:hint="eastAsia" w:ascii="Arial" w:hAnsi="宋体" w:cs="Arial"/>
                <w:color w:val="auto"/>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pStyle w:val="967"/>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14"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c>
          <w:tcPr>
            <w:tcW w:w="181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按 时□ 不按时□</w:t>
            </w:r>
            <w:r/>
          </w:p>
        </w:tc>
        <w:tc>
          <w:tcPr>
            <w:tcW w:w="2476"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c>
          <w:tcPr>
            <w:tcW w:w="170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c>
          <w:tcPr>
            <w:tcW w:w="219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c>
          <w:tcPr>
            <w:tcW w:w="2694"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r>
      <w:tr>
        <w:trPr>
          <w:trHeight w:val="45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存在问题</w:t>
            </w:r>
            <w:r/>
          </w:p>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和改进意见</w:t>
            </w:r>
            <w:r/>
          </w:p>
        </w:tc>
        <w:tc>
          <w:tcPr>
            <w:gridSpan w:val="6"/>
            <w:tcW w:w="12600" w:type="dxa"/>
            <w:vAlign w:val="center"/>
            <w:textDirection w:val="lrTb"/>
            <w:noWrap w:val="false"/>
          </w:tcPr>
          <w:p>
            <w:pPr>
              <w:pStyle w:val="967"/>
              <w:jc w:val="center"/>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99"/>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最终结论</w:t>
            </w:r>
            <w:r/>
          </w:p>
        </w:tc>
        <w:tc>
          <w:tcPr>
            <w:gridSpan w:val="6"/>
            <w:tcW w:w="12600" w:type="dxa"/>
            <w:vAlign w:val="center"/>
            <w:textDirection w:val="lrTb"/>
            <w:noWrap w:val="false"/>
          </w:tcPr>
          <w:p>
            <w:pPr>
              <w:jc w:val="center"/>
              <w:widowControl/>
              <w:rPr>
                <w:rFonts w:ascii="Arial" w:hAnsi="宋体" w:cs="Arial"/>
                <w:color w:val="auto"/>
                <w:sz w:val="21"/>
                <w:szCs w:val="21"/>
                <w:highlight w:val="none"/>
                <w:lang w:eastAsia="en-US"/>
              </w:rPr>
            </w:pPr>
            <w:r>
              <w:rPr>
                <w:rFonts w:hint="eastAsia" w:ascii="Arial" w:hAnsi="宋体" w:cs="Arial"/>
                <w:color w:val="auto"/>
                <w:sz w:val="21"/>
                <w:szCs w:val="21"/>
                <w:highlight w:val="none"/>
                <w:lang w:eastAsia="en-US"/>
              </w:rPr>
              <w:t xml:space="preserve">合  格□                              不合格□</w:t>
            </w:r>
            <w:r/>
          </w:p>
        </w:tc>
      </w:tr>
      <w:tr>
        <w:trPr>
          <w:trHeight w:val="704"/>
        </w:trPr>
        <w:tc>
          <w:tcPr>
            <w:tcW w:w="1625" w:type="dxa"/>
            <w:vAlign w:val="center"/>
            <w:textDirection w:val="lrTb"/>
            <w:noWrap w:val="false"/>
          </w:tcPr>
          <w:p>
            <w:pPr>
              <w:jc w:val="center"/>
              <w:widowControl/>
              <w:rPr>
                <w:rFonts w:ascii="Arial" w:hAnsi="宋体" w:cs="Arial"/>
                <w:color w:val="auto"/>
                <w:sz w:val="21"/>
                <w:szCs w:val="21"/>
                <w:highlight w:val="none"/>
                <w:lang w:eastAsia="en-US"/>
              </w:rPr>
            </w:pPr>
            <w:r>
              <w:rPr>
                <w:rFonts w:ascii="Arial" w:hAnsi="宋体" w:cs="Arial"/>
                <w:color w:val="auto"/>
                <w:spacing w:val="-2"/>
                <w:sz w:val="21"/>
                <w:szCs w:val="21"/>
                <w:highlight w:val="none"/>
                <w:lang w:eastAsia="en-US"/>
              </w:rPr>
              <w:t xml:space="preserve">验收小组成员</w:t>
            </w:r>
            <w:r>
              <w:rPr>
                <w:rFonts w:ascii="Arial" w:hAnsi="宋体" w:cs="Arial"/>
                <w:color w:val="auto"/>
                <w:spacing w:val="-4"/>
                <w:sz w:val="21"/>
                <w:szCs w:val="21"/>
                <w:highlight w:val="none"/>
                <w:lang w:eastAsia="en-US"/>
              </w:rPr>
              <w:t xml:space="preserve">签字</w:t>
            </w:r>
            <w:r/>
          </w:p>
        </w:tc>
        <w:tc>
          <w:tcPr>
            <w:gridSpan w:val="6"/>
            <w:tcW w:w="12600" w:type="dxa"/>
            <w:textDirection w:val="lrTb"/>
            <w:noWrap w:val="false"/>
          </w:tcPr>
          <w:p>
            <w:pPr>
              <w:pStyle w:val="967"/>
              <w:widowControl w:val="off"/>
              <w:rPr>
                <w:rFonts w:eastAsia="Arial"/>
                <w:color w:val="auto"/>
                <w:sz w:val="21"/>
                <w:szCs w:val="21"/>
                <w:highlight w:val="none"/>
                <w:lang w:eastAsia="en-US"/>
              </w:rPr>
            </w:pPr>
            <w:r>
              <w:rPr>
                <w:rFonts w:eastAsia="Arial"/>
                <w:color w:val="auto"/>
                <w:sz w:val="21"/>
                <w:szCs w:val="21"/>
                <w:highlight w:val="none"/>
                <w:lang w:eastAsia="en-US"/>
              </w:rPr>
            </w:r>
            <w:r/>
          </w:p>
        </w:tc>
      </w:tr>
      <w:tr>
        <w:trPr>
          <w:trHeight w:val="903"/>
        </w:trPr>
        <w:tc>
          <w:tcPr>
            <w:gridSpan w:val="7"/>
            <w:tcW w:w="14225" w:type="dxa"/>
            <w:textDirection w:val="lrTb"/>
            <w:noWrap w:val="false"/>
          </w:tcPr>
          <w:p>
            <w:pPr>
              <w:pStyle w:val="967"/>
              <w:ind w:firstLine="257"/>
              <w:spacing w:line="255" w:lineRule="auto"/>
              <w:widowControl w:val="off"/>
              <w:rPr>
                <w:rFonts w:eastAsia="宋体"/>
                <w:color w:val="auto"/>
                <w:sz w:val="21"/>
                <w:szCs w:val="21"/>
                <w:highlight w:val="none"/>
              </w:rPr>
            </w:pPr>
            <w:r>
              <w:rPr>
                <w:rFonts w:ascii="宋体" w:hAnsi="宋体" w:eastAsia="宋体" w:cs="宋体"/>
                <w:color w:val="auto"/>
                <w:spacing w:val="-2"/>
                <w:sz w:val="21"/>
                <w:szCs w:val="21"/>
                <w:highlight w:val="none"/>
              </w:rPr>
              <w:t xml:space="preserve">采购人意见</w:t>
            </w:r>
            <w:r/>
          </w:p>
          <w:p>
            <w:pPr>
              <w:pStyle w:val="967"/>
              <w:ind w:firstLine="262"/>
              <w:spacing w:line="255" w:lineRule="auto"/>
              <w:widowControl w:val="off"/>
              <w:rPr>
                <w:rFonts w:eastAsia="宋体"/>
                <w:color w:val="auto"/>
                <w:sz w:val="21"/>
                <w:szCs w:val="21"/>
                <w:highlight w:val="none"/>
              </w:rPr>
            </w:pPr>
            <w:r>
              <w:rPr>
                <w:rFonts w:eastAsia="宋体"/>
                <w:color w:val="auto"/>
                <w:sz w:val="21"/>
                <w:szCs w:val="21"/>
                <w:highlight w:val="none"/>
              </w:rPr>
            </w:r>
            <w:r/>
          </w:p>
          <w:p>
            <w:pPr>
              <w:ind w:firstLine="265"/>
              <w:jc w:val="right"/>
              <w:spacing w:before="59" w:line="238" w:lineRule="exact"/>
              <w:rPr>
                <w:rFonts w:ascii="Arial" w:hAnsi="宋体" w:cs="Arial"/>
                <w:color w:val="auto"/>
                <w:sz w:val="21"/>
                <w:szCs w:val="21"/>
                <w:highlight w:val="none"/>
              </w:rPr>
            </w:pPr>
            <w:r>
              <w:rPr>
                <w:rFonts w:ascii="Arial" w:hAnsi="宋体" w:cs="Arial"/>
                <w:color w:val="auto"/>
                <w:spacing w:val="1"/>
                <w:position w:val="1"/>
                <w:sz w:val="21"/>
                <w:szCs w:val="21"/>
                <w:highlight w:val="none"/>
              </w:rPr>
              <w:t xml:space="preserve">经办人：         负责人</w:t>
            </w:r>
            <w:r>
              <w:rPr>
                <w:rFonts w:ascii="Arial" w:hAnsi="宋体" w:cs="Arial"/>
                <w:color w:val="auto"/>
                <w:spacing w:val="-17"/>
                <w:position w:val="1"/>
                <w:sz w:val="21"/>
                <w:szCs w:val="21"/>
                <w:highlight w:val="none"/>
              </w:rPr>
              <w:t xml:space="preserve">：</w:t>
            </w:r>
            <w:r>
              <w:rPr>
                <w:rFonts w:ascii="Arial" w:hAnsi="宋体" w:cs="Arial"/>
                <w:color w:val="auto"/>
                <w:position w:val="1"/>
                <w:sz w:val="21"/>
                <w:szCs w:val="21"/>
                <w:highlight w:val="none"/>
              </w:rPr>
              <w:t xml:space="preserve">               </w:t>
            </w:r>
            <w:r>
              <w:rPr>
                <w:rFonts w:ascii="Arial" w:hAnsi="宋体" w:cs="Arial"/>
                <w:color w:val="auto"/>
                <w:spacing w:val="-17"/>
                <w:position w:val="1"/>
                <w:sz w:val="21"/>
                <w:szCs w:val="21"/>
                <w:highlight w:val="none"/>
              </w:rPr>
              <w:t xml:space="preserve">（</w:t>
            </w:r>
            <w:r>
              <w:rPr>
                <w:rFonts w:ascii="Arial" w:hAnsi="宋体" w:cs="Arial"/>
                <w:color w:val="auto"/>
                <w:spacing w:val="1"/>
                <w:position w:val="1"/>
                <w:sz w:val="21"/>
                <w:szCs w:val="21"/>
                <w:highlight w:val="none"/>
              </w:rPr>
              <w:t xml:space="preserve">采购人公章）</w:t>
            </w:r>
            <w:r/>
          </w:p>
        </w:tc>
      </w:tr>
      <w:tr>
        <w:trPr>
          <w:trHeight w:val="838"/>
        </w:trPr>
        <w:tc>
          <w:tcPr>
            <w:gridSpan w:val="7"/>
            <w:tcW w:w="14225" w:type="dxa"/>
            <w:textDirection w:val="lrTb"/>
            <w:noWrap w:val="false"/>
          </w:tcPr>
          <w:p>
            <w:pPr>
              <w:ind w:firstLine="257"/>
              <w:spacing w:before="299" w:line="207" w:lineRule="auto"/>
              <w:rPr>
                <w:rFonts w:ascii="Arial" w:hAnsi="宋体" w:cs="Arial"/>
                <w:color w:val="auto"/>
                <w:sz w:val="21"/>
                <w:szCs w:val="21"/>
                <w:highlight w:val="none"/>
              </w:rPr>
            </w:pPr>
            <w:r>
              <w:rPr>
                <w:rFonts w:ascii="Arial" w:hAnsi="宋体" w:cs="Arial"/>
                <w:color w:val="auto"/>
                <w:spacing w:val="-2"/>
                <w:sz w:val="21"/>
                <w:szCs w:val="21"/>
                <w:highlight w:val="none"/>
              </w:rPr>
              <w:t xml:space="preserve">供应商确认：</w:t>
            </w:r>
            <w:r/>
          </w:p>
          <w:p>
            <w:pPr>
              <w:pStyle w:val="967"/>
              <w:ind w:firstLine="262"/>
              <w:spacing w:line="275" w:lineRule="auto"/>
              <w:widowControl w:val="off"/>
              <w:rPr>
                <w:rFonts w:eastAsia="宋体"/>
                <w:color w:val="auto"/>
                <w:sz w:val="21"/>
                <w:szCs w:val="21"/>
                <w:highlight w:val="none"/>
              </w:rPr>
            </w:pPr>
            <w:r>
              <w:rPr>
                <w:rFonts w:eastAsia="宋体"/>
                <w:color w:val="auto"/>
                <w:sz w:val="21"/>
                <w:szCs w:val="21"/>
                <w:highlight w:val="none"/>
              </w:rPr>
            </w:r>
            <w:r/>
          </w:p>
          <w:p>
            <w:pPr>
              <w:ind w:firstLine="260"/>
              <w:spacing w:before="59" w:line="238" w:lineRule="exact"/>
              <w:rPr>
                <w:rFonts w:ascii="Arial" w:hAnsi="宋体" w:cs="Arial"/>
                <w:color w:val="auto"/>
                <w:spacing w:val="1"/>
                <w:position w:val="1"/>
                <w:sz w:val="21"/>
                <w:szCs w:val="21"/>
                <w:highlight w:val="none"/>
              </w:rPr>
            </w:pPr>
            <w:r>
              <w:rPr>
                <w:rFonts w:ascii="Arial" w:hAnsi="宋体" w:cs="Arial"/>
                <w:color w:val="auto"/>
                <w:spacing w:val="-1"/>
                <w:position w:val="1"/>
                <w:sz w:val="21"/>
                <w:szCs w:val="21"/>
                <w:highlight w:val="none"/>
              </w:rPr>
              <w:t xml:space="preserve">（单位公章或授权代表签字）</w:t>
            </w:r>
            <w:r/>
          </w:p>
        </w:tc>
      </w:tr>
    </w:tbl>
    <w:p>
      <w:pPr>
        <w:jc w:val="both"/>
        <w:spacing w:before="297" w:line="211" w:lineRule="auto"/>
        <w:widowControl/>
        <w:rPr>
          <w:rFonts w:hint="default" w:ascii="Times New Roman" w:hAnsi="宋体" w:eastAsia="宋体" w:cs="Times New Roman"/>
          <w:color w:val="auto"/>
          <w:sz w:val="18"/>
          <w:szCs w:val="18"/>
          <w:highlight w:val="none"/>
        </w:rPr>
      </w:pPr>
      <w:r>
        <w:rPr>
          <w:rFonts w:hint="default" w:ascii="Times New Roman" w:hAnsi="宋体" w:eastAsia="宋体" w:cs="Times New Roman"/>
          <w:color w:val="auto"/>
          <w:sz w:val="18"/>
          <w:szCs w:val="18"/>
          <w:highlight w:val="none"/>
        </w:rPr>
        <w:t xml:space="preserve">说明: 1.该表为</w:t>
      </w:r>
      <w:r>
        <w:rPr>
          <w:rFonts w:hint="eastAsia" w:ascii="Times New Roman" w:hAnsi="宋体" w:eastAsia="宋体" w:cs="Times New Roman"/>
          <w:color w:val="auto"/>
          <w:sz w:val="18"/>
          <w:szCs w:val="18"/>
          <w:highlight w:val="none"/>
          <w:lang w:val="en-US" w:eastAsia="zh-CN"/>
        </w:rPr>
        <w:t xml:space="preserve">服务</w:t>
      </w:r>
      <w:r>
        <w:rPr>
          <w:rFonts w:hint="default" w:ascii="Times New Roman" w:hAnsi="宋体" w:eastAsia="宋体" w:cs="Times New Roman"/>
          <w:color w:val="auto"/>
          <w:sz w:val="18"/>
          <w:szCs w:val="18"/>
          <w:highlight w:val="none"/>
        </w:rPr>
        <w:t xml:space="preserve">类项目履约验收的参考样表，采购人或采购代理机构可以</w:t>
      </w:r>
      <w:r>
        <w:rPr>
          <w:rFonts w:hint="default" w:ascii="Times New Roman" w:hAnsi="宋体" w:eastAsia="宋体" w:cs="Times New Roman"/>
          <w:color w:val="auto"/>
          <w:spacing w:val="-1"/>
          <w:sz w:val="18"/>
          <w:szCs w:val="18"/>
          <w:highlight w:val="none"/>
        </w:rPr>
        <w:t xml:space="preserve">根据工作实际进行调整。</w:t>
      </w:r>
      <w:r/>
    </w:p>
    <w:p>
      <w:pPr>
        <w:jc w:val="both"/>
        <w:spacing w:before="58" w:line="211" w:lineRule="auto"/>
        <w:widowControl/>
        <w:rPr>
          <w:rFonts w:hint="default" w:ascii="Times New Roman" w:hAnsi="宋体" w:eastAsia="宋体" w:cs="Times New Roman"/>
          <w:color w:val="auto"/>
          <w:sz w:val="18"/>
          <w:szCs w:val="18"/>
          <w:highlight w:val="none"/>
        </w:rPr>
      </w:pPr>
      <w:r>
        <w:rPr>
          <w:rFonts w:hint="default" w:ascii="Times New Roman" w:hAnsi="宋体" w:eastAsia="宋体" w:cs="Times New Roman"/>
          <w:color w:val="auto"/>
          <w:sz w:val="18"/>
          <w:szCs w:val="18"/>
          <w:highlight w:val="none"/>
        </w:rPr>
        <w:t xml:space="preserve">2.未委托采购代理机构开展履约验收工作的，无需填写“</w:t>
      </w:r>
      <w:r>
        <w:rPr>
          <w:rFonts w:hint="default" w:ascii="Times New Roman" w:hAnsi="宋体" w:eastAsia="宋体" w:cs="Times New Roman"/>
          <w:color w:val="auto"/>
          <w:spacing w:val="-1"/>
          <w:sz w:val="18"/>
          <w:szCs w:val="18"/>
          <w:highlight w:val="none"/>
        </w:rPr>
        <w:t xml:space="preserve">采购代理机构意见</w:t>
      </w:r>
      <w:r>
        <w:rPr>
          <w:rFonts w:hint="default" w:ascii="Times New Roman" w:hAnsi="宋体" w:eastAsia="宋体" w:cs="Times New Roman"/>
          <w:color w:val="auto"/>
          <w:spacing w:val="-66"/>
          <w:sz w:val="18"/>
          <w:szCs w:val="18"/>
          <w:highlight w:val="none"/>
        </w:rPr>
        <w:t xml:space="preserve"> </w:t>
      </w:r>
      <w:r>
        <w:rPr>
          <w:rFonts w:hint="default" w:ascii="Times New Roman" w:hAnsi="宋体" w:eastAsia="宋体" w:cs="Times New Roman"/>
          <w:color w:val="auto"/>
          <w:spacing w:val="-1"/>
          <w:sz w:val="18"/>
          <w:szCs w:val="18"/>
          <w:highlight w:val="none"/>
        </w:rPr>
        <w:t xml:space="preserve">”。</w:t>
      </w:r>
      <w:r/>
    </w:p>
    <w:p>
      <w:pPr>
        <w:jc w:val="center"/>
        <w:tabs>
          <w:tab w:val="left" w:pos="899" w:leader="none"/>
          <w:tab w:val="right" w:pos="14293" w:leader="none"/>
        </w:tabs>
        <w:rPr>
          <w:color w:val="auto"/>
          <w:highlight w:val="none"/>
        </w:rPr>
      </w:pPr>
      <w:r>
        <w:rPr>
          <w:rFonts w:hint="eastAsia"/>
          <w:color w:val="auto"/>
          <w:highlight w:val="none"/>
          <w:lang w:eastAsia="zh-CN"/>
        </w:rPr>
        <w:t xml:space="preserve">（</w:t>
      </w:r>
      <w:r>
        <w:rPr>
          <w:rFonts w:hint="eastAsia"/>
          <w:color w:val="auto"/>
          <w:highlight w:val="none"/>
        </w:rPr>
        <w:t xml:space="preserve">全文完</w:t>
      </w:r>
      <w:r>
        <w:rPr>
          <w:rFonts w:hint="eastAsia"/>
          <w:color w:val="auto"/>
          <w:highlight w:val="none"/>
          <w:lang w:eastAsia="zh-CN"/>
        </w:rPr>
        <w:t xml:space="preserve">）</w:t>
      </w:r>
      <w:r/>
    </w:p>
    <w:sectPr>
      <w:footnotePr/>
      <w:endnotePr/>
      <w:type w:val="nextPage"/>
      <w:pgSz w:w="16838" w:h="11906" w:orient="landscape"/>
      <w:pgMar w:top="1361" w:right="136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270" cy="224790"/>
              <wp:effectExtent l="6350" t="6350" r="6350" b="6350"/>
              <wp:wrapNone/>
              <wp:docPr id="1" name="文本框 5"/>
              <wp:cNvGraphicFramePr/>
              <a:graphic xmlns:a="http://schemas.openxmlformats.org/drawingml/2006/main">
                <a:graphicData uri="http://schemas.microsoft.com/office/word/2010/wordprocessingShape">
                  <wps:wsp>
                    <wps:cNvPr id="0" name=""/>
                    <wps:cNvSpPr>
                      <a:spLocks noChangeArrowheads="1"/>
                    </wps:cNvSpPr>
                    <wps:spPr bwMode="auto">
                      <a:xfrm>
                        <a:off x="0" y="0"/>
                        <a:ext cx="763074" cy="224710"/>
                      </a:xfrm>
                      <a:prstGeom prst="rect">
                        <a:avLst/>
                      </a:prstGeom>
                      <a:noFill/>
                      <a:ln>
                        <a:noFill/>
                      </a:ln>
                    </wps:spPr>
                    <wps:txbx>
                      <w:txbxContent>
                        <w:p>
                          <w:pPr>
                            <w:pStyle w:val="7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60.1pt;height:17.7pt;mso-wrap-distance-left:9.0pt;mso-wrap-distance-top:0.0pt;mso-wrap-distance-right:9.0pt;mso-wrap-distance-bottom:0.0pt;v-text-anchor:top;visibility:visible;" filled="f" stroked="f">
              <v:textbox inset="0,0,0,0">
                <w:txbxContent>
                  <w:p>
                    <w:pPr>
                      <w:pStyle w:val="7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36</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36</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94080" cy="147955"/>
              <wp:effectExtent l="6350" t="6350" r="6350" b="6350"/>
              <wp:wrapNone/>
              <wp:docPr id="3" name="文本框 6"/>
              <wp:cNvGraphicFramePr/>
              <a:graphic xmlns:a="http://schemas.openxmlformats.org/drawingml/2006/main">
                <a:graphicData uri="http://schemas.microsoft.com/office/word/2010/wordprocessingShape">
                  <wps:wsp>
                    <wps:cNvPr id="0" name=""/>
                    <wps:cNvSpPr>
                      <a:spLocks noChangeArrowheads="1"/>
                    </wps:cNvSpPr>
                    <wps:spPr bwMode="auto">
                      <a:xfrm>
                        <a:off x="0" y="0"/>
                        <a:ext cx="894043" cy="148232"/>
                      </a:xfrm>
                      <a:prstGeom prst="rect">
                        <a:avLst/>
                      </a:prstGeom>
                      <a:noFill/>
                      <a:ln>
                        <a:noFill/>
                      </a:ln>
                    </wps:spPr>
                    <wps:txbx>
                      <w:txbxContent>
                        <w:p>
                          <w:pPr>
                            <w:pStyle w:val="776"/>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70.4pt;height:11.6pt;mso-wrap-distance-left:9.0pt;mso-wrap-distance-top:0.0pt;mso-wrap-distance-right:9.0pt;mso-wrap-distance-bottom:0.0pt;v-text-anchor:top;visibility:visible;" filled="f" stroked="f">
              <v:textbox inset="0,0,0,0">
                <w:txbxContent>
                  <w:p>
                    <w:pPr>
                      <w:pStyle w:val="776"/>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tabs>
        <w:tab w:val="center" w:pos="4153" w:leader="none"/>
        <w:tab w:val="right" w:pos="8306" w:leader="none"/>
      </w:tabs>
      <w:rPr>
        <w:sz w:val="18"/>
      </w:rPr>
      <w:pBdr>
        <w:top w:val="none" w:color="auto" w:sz="0" w:space="1"/>
        <w:left w:val="none" w:color="auto" w:sz="0" w:space="4"/>
        <w:bottom w:val="none" w:color="auto" w:sz="0" w:space="1"/>
        <w:right w:val="none" w:color="auto" w:sz="0" w:space="4"/>
      </w:pBd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color w:val="000000"/>
        <w:spacing w:val="0"/>
        <w:position w:val="0"/>
        <w:u w:val="none"/>
      </w:rPr>
    </w:lvl>
    <w:lvl w:ilvl="3">
      <w:start w:val="1"/>
      <w:numFmt w:val="decimal"/>
      <w:pStyle w:val="929"/>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abstractNum w:abstractNumId="3">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1"/>
    <w:qFormat/>
    <w:pPr>
      <w:widowControl w:val="off"/>
    </w:pPr>
    <w:rPr>
      <w:rFonts w:hint="default" w:ascii="宋体" w:hAnsi="Times New Roman" w:eastAsia="宋体" w:cs="宋体"/>
      <w:sz w:val="22"/>
      <w:szCs w:val="22"/>
      <w:lang w:val="en-US" w:eastAsia="zh-CN" w:bidi="ar-SA"/>
    </w:rPr>
  </w:style>
  <w:style w:type="paragraph" w:styleId="748">
    <w:name w:val="Heading 1"/>
    <w:basedOn w:val="747"/>
    <w:next w:val="747"/>
    <w:link w:val="976"/>
    <w:uiPriority w:val="1"/>
    <w:qFormat/>
    <w:pPr>
      <w:ind w:right="406"/>
      <w:jc w:val="center"/>
      <w:outlineLvl w:val="0"/>
    </w:pPr>
    <w:rPr>
      <w:rFonts w:cs="Times New Roman"/>
      <w:b/>
      <w:bCs/>
      <w:sz w:val="72"/>
      <w:szCs w:val="72"/>
    </w:rPr>
  </w:style>
  <w:style w:type="paragraph" w:styleId="749">
    <w:name w:val="Heading 2"/>
    <w:basedOn w:val="747"/>
    <w:next w:val="747"/>
    <w:link w:val="974"/>
    <w:uiPriority w:val="1"/>
    <w:qFormat/>
    <w:pPr>
      <w:ind w:left="2791"/>
      <w:spacing w:before="26"/>
      <w:outlineLvl w:val="1"/>
    </w:pPr>
    <w:rPr>
      <w:rFonts w:cs="Times New Roman"/>
      <w:b/>
      <w:bCs/>
      <w:sz w:val="44"/>
      <w:szCs w:val="44"/>
    </w:rPr>
  </w:style>
  <w:style w:type="paragraph" w:styleId="750">
    <w:name w:val="Heading 3"/>
    <w:basedOn w:val="747"/>
    <w:next w:val="747"/>
    <w:link w:val="975"/>
    <w:uiPriority w:val="1"/>
    <w:qFormat/>
    <w:pPr>
      <w:ind w:left="909"/>
      <w:spacing w:before="1"/>
      <w:outlineLvl w:val="2"/>
    </w:pPr>
    <w:rPr>
      <w:rFonts w:cs="Times New Roman"/>
      <w:b/>
      <w:bCs/>
      <w:sz w:val="36"/>
      <w:szCs w:val="36"/>
    </w:rPr>
  </w:style>
  <w:style w:type="paragraph" w:styleId="751">
    <w:name w:val="Heading 4"/>
    <w:basedOn w:val="747"/>
    <w:next w:val="747"/>
    <w:link w:val="973"/>
    <w:uiPriority w:val="1"/>
    <w:qFormat/>
    <w:pPr>
      <w:outlineLvl w:val="3"/>
    </w:pPr>
    <w:rPr>
      <w:rFonts w:cs="Times New Roman"/>
      <w:b/>
      <w:bCs/>
      <w:sz w:val="32"/>
      <w:szCs w:val="32"/>
    </w:rPr>
  </w:style>
  <w:style w:type="paragraph" w:styleId="752">
    <w:name w:val="Heading 5"/>
    <w:basedOn w:val="747"/>
    <w:next w:val="747"/>
    <w:link w:val="977"/>
    <w:uiPriority w:val="1"/>
    <w:qFormat/>
    <w:pPr>
      <w:ind w:left="847"/>
      <w:outlineLvl w:val="4"/>
    </w:pPr>
    <w:rPr>
      <w:rFonts w:cs="Times New Roman"/>
      <w:sz w:val="24"/>
      <w:szCs w:val="24"/>
    </w:rPr>
  </w:style>
  <w:style w:type="paragraph" w:styleId="753">
    <w:name w:val="Heading 6"/>
    <w:basedOn w:val="747"/>
    <w:next w:val="747"/>
    <w:link w:val="1005"/>
    <w:uiPriority w:val="1"/>
    <w:qFormat/>
    <w:pPr>
      <w:ind w:left="367"/>
      <w:outlineLvl w:val="5"/>
    </w:pPr>
    <w:rPr>
      <w:rFonts w:cs="Times New Roman"/>
      <w:b/>
      <w:bCs/>
      <w:sz w:val="20"/>
      <w:szCs w:val="21"/>
    </w:rPr>
  </w:style>
  <w:style w:type="paragraph" w:styleId="754">
    <w:name w:val="Heading 7"/>
    <w:basedOn w:val="747"/>
    <w:next w:val="747"/>
    <w:link w:val="993"/>
    <w:uiPriority w:val="9"/>
    <w:unhideWhenUsed/>
    <w:qFormat/>
    <w:pPr>
      <w:keepLines/>
      <w:keepNext/>
      <w:spacing w:before="320" w:after="200"/>
      <w:outlineLvl w:val="6"/>
    </w:pPr>
    <w:rPr>
      <w:rFonts w:ascii="Arial" w:hAnsi="Arial" w:eastAsia="Arial" w:cs="Arial"/>
      <w:b/>
      <w:bCs/>
      <w:i/>
      <w:iCs/>
    </w:rPr>
  </w:style>
  <w:style w:type="paragraph" w:styleId="755">
    <w:name w:val="Heading 8"/>
    <w:basedOn w:val="747"/>
    <w:next w:val="747"/>
    <w:link w:val="994"/>
    <w:uiPriority w:val="9"/>
    <w:unhideWhenUsed/>
    <w:qFormat/>
    <w:pPr>
      <w:keepLines/>
      <w:keepNext/>
      <w:spacing w:before="320" w:after="200"/>
      <w:outlineLvl w:val="7"/>
    </w:pPr>
    <w:rPr>
      <w:rFonts w:ascii="Arial" w:hAnsi="Arial" w:eastAsia="Arial" w:cs="Arial"/>
      <w:i/>
      <w:iCs/>
    </w:rPr>
  </w:style>
  <w:style w:type="paragraph" w:styleId="756">
    <w:name w:val="Heading 9"/>
    <w:basedOn w:val="747"/>
    <w:next w:val="747"/>
    <w:link w:val="995"/>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Normal Indent"/>
    <w:basedOn w:val="747"/>
    <w:link w:val="1006"/>
    <w:uiPriority w:val="0"/>
    <w:qFormat/>
    <w:pPr>
      <w:ind w:firstLine="420"/>
    </w:pPr>
    <w:rPr>
      <w:rFonts w:ascii="Times New Roman" w:eastAsia="楷体_GB2312" w:cs="Times New Roman"/>
      <w:sz w:val="21"/>
      <w:szCs w:val="20"/>
    </w:rPr>
  </w:style>
  <w:style w:type="paragraph" w:styleId="761">
    <w:name w:val="Caption"/>
    <w:basedOn w:val="747"/>
    <w:next w:val="747"/>
    <w:uiPriority w:val="35"/>
    <w:semiHidden/>
    <w:unhideWhenUsed/>
    <w:qFormat/>
    <w:pPr>
      <w:spacing w:line="276" w:lineRule="auto"/>
    </w:pPr>
    <w:rPr>
      <w:b/>
      <w:bCs/>
      <w:color w:val="4f81bd"/>
      <w:sz w:val="18"/>
      <w:szCs w:val="18"/>
    </w:rPr>
  </w:style>
  <w:style w:type="paragraph" w:styleId="762">
    <w:name w:val="Document Map"/>
    <w:basedOn w:val="747"/>
    <w:uiPriority w:val="99"/>
    <w:qFormat/>
    <w:rPr>
      <w:rFonts w:hint="default" w:ascii="宋体" w:hAnsi="Times New Roman" w:eastAsia="Arial Unicode MS" w:cs="Times New Roman"/>
      <w:sz w:val="18"/>
      <w:szCs w:val="18"/>
      <w:lang w:val="en-US" w:eastAsia="en-US" w:bidi="ar-SA"/>
    </w:rPr>
  </w:style>
  <w:style w:type="paragraph" w:styleId="763">
    <w:name w:val="annotation text"/>
    <w:basedOn w:val="747"/>
    <w:link w:val="1007"/>
    <w:uiPriority w:val="0"/>
    <w:qFormat/>
    <w:rPr>
      <w:rFonts w:ascii="Calibri" w:hAnsi="Calibri" w:cs="Times New Roman"/>
      <w:sz w:val="20"/>
      <w:szCs w:val="20"/>
    </w:rPr>
  </w:style>
  <w:style w:type="paragraph" w:styleId="764">
    <w:name w:val="Body Text"/>
    <w:basedOn w:val="747"/>
    <w:link w:val="1008"/>
    <w:uiPriority w:val="99"/>
    <w:qFormat/>
    <w:pPr>
      <w:ind w:left="367"/>
      <w:spacing w:before="132"/>
    </w:pPr>
    <w:rPr>
      <w:rFonts w:cs="Times New Roman"/>
      <w:sz w:val="20"/>
      <w:szCs w:val="21"/>
    </w:rPr>
  </w:style>
  <w:style w:type="paragraph" w:styleId="765">
    <w:name w:val="Body Text Indent"/>
    <w:basedOn w:val="747"/>
    <w:next w:val="766"/>
    <w:link w:val="1009"/>
    <w:uiPriority w:val="99"/>
    <w:unhideWhenUsed/>
    <w:qFormat/>
    <w:pPr>
      <w:ind w:left="420"/>
      <w:spacing w:after="120"/>
    </w:pPr>
    <w:rPr>
      <w:rFonts w:cs="Times New Roman"/>
      <w:szCs w:val="20"/>
    </w:rPr>
  </w:style>
  <w:style w:type="paragraph" w:styleId="766">
    <w:name w:val="envelope return"/>
    <w:basedOn w:val="747"/>
    <w:uiPriority w:val="0"/>
    <w:qFormat/>
    <w:rPr>
      <w:rFonts w:ascii="Arial" w:hAnsi="Arial"/>
      <w:sz w:val="21"/>
      <w:szCs w:val="24"/>
    </w:rPr>
  </w:style>
  <w:style w:type="paragraph" w:styleId="767">
    <w:name w:val="index 4"/>
    <w:basedOn w:val="747"/>
    <w:next w:val="747"/>
    <w:uiPriority w:val="0"/>
    <w:semiHidden/>
    <w:qFormat/>
    <w:pPr>
      <w:ind w:left="600"/>
      <w:jc w:val="both"/>
    </w:pPr>
    <w:rPr>
      <w:rFonts w:ascii="Calibri" w:hAnsi="Calibri"/>
      <w:sz w:val="21"/>
      <w:szCs w:val="20"/>
    </w:rPr>
  </w:style>
  <w:style w:type="paragraph" w:styleId="768">
    <w:name w:val="toc 5"/>
    <w:basedOn w:val="747"/>
    <w:next w:val="747"/>
    <w:uiPriority w:val="39"/>
    <w:unhideWhenUsed/>
    <w:qFormat/>
    <w:pPr>
      <w:ind w:left="1134"/>
      <w:spacing w:after="57"/>
    </w:pPr>
  </w:style>
  <w:style w:type="paragraph" w:styleId="769">
    <w:name w:val="toc 3"/>
    <w:basedOn w:val="747"/>
    <w:next w:val="747"/>
    <w:uiPriority w:val="39"/>
    <w:unhideWhenUsed/>
    <w:qFormat/>
    <w:pPr>
      <w:ind w:left="567"/>
      <w:spacing w:after="57"/>
    </w:pPr>
  </w:style>
  <w:style w:type="paragraph" w:styleId="770">
    <w:name w:val="Plain Text"/>
    <w:basedOn w:val="747"/>
    <w:next w:val="771"/>
    <w:link w:val="1040"/>
    <w:uiPriority w:val="0"/>
    <w:qFormat/>
    <w:pPr>
      <w:jc w:val="both"/>
    </w:pPr>
    <w:rPr>
      <w:rFonts w:hAnsi="Courier New" w:eastAsia="楷体_GB2312" w:cs="Times New Roman"/>
      <w:sz w:val="26"/>
      <w:szCs w:val="20"/>
    </w:rPr>
  </w:style>
  <w:style w:type="paragraph" w:styleId="771">
    <w:name w:val="Header"/>
    <w:basedOn w:val="747"/>
    <w:next w:val="747"/>
    <w:link w:val="101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72">
    <w:name w:val="toc 8"/>
    <w:basedOn w:val="747"/>
    <w:next w:val="747"/>
    <w:uiPriority w:val="39"/>
    <w:unhideWhenUsed/>
    <w:qFormat/>
    <w:pPr>
      <w:ind w:left="1984"/>
      <w:spacing w:after="57"/>
    </w:pPr>
  </w:style>
  <w:style w:type="paragraph" w:styleId="773">
    <w:name w:val="Date"/>
    <w:basedOn w:val="747"/>
    <w:next w:val="747"/>
    <w:link w:val="1011"/>
    <w:uiPriority w:val="99"/>
    <w:unhideWhenUsed/>
    <w:qFormat/>
    <w:pPr>
      <w:ind w:left="100"/>
    </w:pPr>
    <w:rPr>
      <w:rFonts w:cs="Times New Roman"/>
    </w:rPr>
  </w:style>
  <w:style w:type="paragraph" w:styleId="774">
    <w:name w:val="endnote text"/>
    <w:basedOn w:val="747"/>
    <w:link w:val="1004"/>
    <w:uiPriority w:val="99"/>
    <w:semiHidden/>
    <w:unhideWhenUsed/>
    <w:qFormat/>
    <w:rPr>
      <w:sz w:val="20"/>
    </w:rPr>
  </w:style>
  <w:style w:type="paragraph" w:styleId="775">
    <w:name w:val="Balloon Text"/>
    <w:basedOn w:val="747"/>
    <w:link w:val="1047"/>
    <w:uiPriority w:val="99"/>
    <w:semiHidden/>
    <w:unhideWhenUsed/>
    <w:qFormat/>
    <w:rPr>
      <w:sz w:val="18"/>
      <w:szCs w:val="18"/>
    </w:rPr>
  </w:style>
  <w:style w:type="paragraph" w:styleId="776">
    <w:name w:val="Footer"/>
    <w:basedOn w:val="747"/>
    <w:link w:val="1012"/>
    <w:uiPriority w:val="99"/>
    <w:unhideWhenUsed/>
    <w:qFormat/>
    <w:pPr>
      <w:tabs>
        <w:tab w:val="center" w:pos="4153" w:leader="none"/>
        <w:tab w:val="right" w:pos="8306" w:leader="none"/>
      </w:tabs>
    </w:pPr>
    <w:rPr>
      <w:rFonts w:cs="Times New Roman"/>
      <w:sz w:val="18"/>
      <w:szCs w:val="18"/>
    </w:rPr>
  </w:style>
  <w:style w:type="paragraph" w:styleId="777">
    <w:name w:val="toc 1"/>
    <w:basedOn w:val="747"/>
    <w:next w:val="747"/>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78">
    <w:name w:val="toc 4"/>
    <w:basedOn w:val="747"/>
    <w:next w:val="747"/>
    <w:uiPriority w:val="39"/>
    <w:unhideWhenUsed/>
    <w:qFormat/>
    <w:pPr>
      <w:ind w:left="850"/>
      <w:spacing w:after="57"/>
    </w:pPr>
  </w:style>
  <w:style w:type="paragraph" w:styleId="779">
    <w:name w:val="Subtitle"/>
    <w:basedOn w:val="747"/>
    <w:next w:val="747"/>
    <w:link w:val="997"/>
    <w:uiPriority w:val="11"/>
    <w:qFormat/>
    <w:pPr>
      <w:spacing w:before="200" w:after="200"/>
    </w:pPr>
    <w:rPr>
      <w:sz w:val="24"/>
      <w:szCs w:val="24"/>
    </w:rPr>
  </w:style>
  <w:style w:type="paragraph" w:styleId="780">
    <w:name w:val="footnote text"/>
    <w:basedOn w:val="747"/>
    <w:link w:val="1003"/>
    <w:uiPriority w:val="99"/>
    <w:semiHidden/>
    <w:unhideWhenUsed/>
    <w:qFormat/>
    <w:pPr>
      <w:spacing w:after="40"/>
    </w:pPr>
    <w:rPr>
      <w:sz w:val="18"/>
    </w:rPr>
  </w:style>
  <w:style w:type="paragraph" w:styleId="781">
    <w:name w:val="toc 6"/>
    <w:basedOn w:val="747"/>
    <w:next w:val="747"/>
    <w:uiPriority w:val="39"/>
    <w:unhideWhenUsed/>
    <w:qFormat/>
    <w:pPr>
      <w:ind w:left="1417"/>
      <w:spacing w:after="57"/>
    </w:pPr>
  </w:style>
  <w:style w:type="paragraph" w:styleId="782">
    <w:name w:val="Body Text Indent 3"/>
    <w:basedOn w:val="747"/>
    <w:link w:val="1014"/>
    <w:uiPriority w:val="99"/>
    <w:unhideWhenUsed/>
    <w:qFormat/>
    <w:pPr>
      <w:ind w:left="420"/>
      <w:spacing w:after="120"/>
    </w:pPr>
    <w:rPr>
      <w:rFonts w:cs="Times New Roman"/>
      <w:sz w:val="16"/>
      <w:szCs w:val="16"/>
    </w:rPr>
  </w:style>
  <w:style w:type="paragraph" w:styleId="783">
    <w:name w:val="table of figures"/>
    <w:basedOn w:val="747"/>
    <w:next w:val="747"/>
    <w:uiPriority w:val="99"/>
    <w:unhideWhenUsed/>
    <w:qFormat/>
  </w:style>
  <w:style w:type="paragraph" w:styleId="784">
    <w:name w:val="toc 2"/>
    <w:basedOn w:val="747"/>
    <w:next w:val="747"/>
    <w:uiPriority w:val="39"/>
    <w:unhideWhenUsed/>
    <w:qFormat/>
    <w:pPr>
      <w:ind w:left="283"/>
      <w:spacing w:after="57"/>
    </w:pPr>
  </w:style>
  <w:style w:type="paragraph" w:styleId="785">
    <w:name w:val="toc 9"/>
    <w:basedOn w:val="747"/>
    <w:next w:val="747"/>
    <w:uiPriority w:val="39"/>
    <w:unhideWhenUsed/>
    <w:qFormat/>
    <w:pPr>
      <w:ind w:left="2268"/>
      <w:spacing w:after="57"/>
    </w:pPr>
  </w:style>
  <w:style w:type="paragraph" w:styleId="786">
    <w:name w:val="Normal (Web)"/>
    <w:basedOn w:val="747"/>
    <w:link w:val="1015"/>
    <w:uiPriority w:val="0"/>
    <w:qFormat/>
    <w:pPr>
      <w:jc w:val="both"/>
    </w:pPr>
    <w:rPr>
      <w:rFonts w:ascii="Times New Roman" w:cs="Times New Roman"/>
      <w:sz w:val="24"/>
      <w:szCs w:val="21"/>
    </w:rPr>
  </w:style>
  <w:style w:type="paragraph" w:styleId="787">
    <w:name w:val="Title"/>
    <w:basedOn w:val="747"/>
    <w:next w:val="747"/>
    <w:link w:val="996"/>
    <w:uiPriority w:val="10"/>
    <w:qFormat/>
    <w:pPr>
      <w:contextualSpacing/>
      <w:spacing w:before="300" w:after="200"/>
    </w:pPr>
    <w:rPr>
      <w:sz w:val="48"/>
      <w:szCs w:val="48"/>
    </w:rPr>
  </w:style>
  <w:style w:type="paragraph" w:styleId="788">
    <w:name w:val="annotation subject"/>
    <w:basedOn w:val="763"/>
    <w:next w:val="763"/>
    <w:link w:val="1016"/>
    <w:uiPriority w:val="99"/>
    <w:unhideWhenUsed/>
    <w:qFormat/>
    <w:rPr>
      <w:rFonts w:ascii="宋体" w:hAnsi="Times New Roman"/>
      <w:b/>
      <w:bCs/>
      <w:sz w:val="22"/>
      <w:szCs w:val="22"/>
    </w:rPr>
  </w:style>
  <w:style w:type="paragraph" w:styleId="789">
    <w:name w:val="Body Text First Indent 2"/>
    <w:basedOn w:val="765"/>
    <w:link w:val="1048"/>
    <w:uiPriority w:val="99"/>
    <w:semiHidden/>
    <w:unhideWhenUsed/>
    <w:qFormat/>
    <w:pPr>
      <w:ind w:left="200" w:firstLine="420"/>
    </w:pPr>
    <w:rPr>
      <w:rFonts w:cs="宋体"/>
      <w:szCs w:val="22"/>
    </w:rPr>
  </w:style>
  <w:style w:type="table" w:styleId="790">
    <w:name w:val="Table Grid"/>
    <w:basedOn w:val="7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uiPriority w:val="22"/>
    <w:qFormat/>
    <w:rPr>
      <w:b/>
    </w:rPr>
  </w:style>
  <w:style w:type="character" w:styleId="792">
    <w:name w:val="endnote reference"/>
    <w:uiPriority w:val="99"/>
    <w:semiHidden/>
    <w:unhideWhenUsed/>
    <w:qFormat/>
    <w:rPr>
      <w:vertAlign w:val="superscript"/>
    </w:rPr>
  </w:style>
  <w:style w:type="character" w:styleId="793">
    <w:name w:val="page number"/>
    <w:uiPriority w:val="0"/>
    <w:qFormat/>
  </w:style>
  <w:style w:type="character" w:styleId="794">
    <w:name w:val="HTML Typewriter"/>
    <w:uiPriority w:val="0"/>
    <w:qFormat/>
    <w:rPr>
      <w:rFonts w:ascii="黑体" w:hAnsi="Courier New" w:eastAsia="黑体" w:cs="Courier New"/>
      <w:sz w:val="14"/>
      <w:szCs w:val="14"/>
      <w:lang w:val="en-US" w:eastAsia="zh-CN" w:bidi="ar-SA"/>
    </w:rPr>
  </w:style>
  <w:style w:type="character" w:styleId="795">
    <w:name w:val="Hyperlink"/>
    <w:uiPriority w:val="99"/>
    <w:unhideWhenUsed/>
    <w:qFormat/>
    <w:rPr>
      <w:color w:val="0563c1"/>
      <w:u w:val="single"/>
    </w:rPr>
  </w:style>
  <w:style w:type="character" w:styleId="796">
    <w:name w:val="annotation reference"/>
    <w:uiPriority w:val="99"/>
    <w:unhideWhenUsed/>
    <w:qFormat/>
    <w:rPr>
      <w:sz w:val="21"/>
      <w:szCs w:val="21"/>
    </w:rPr>
  </w:style>
  <w:style w:type="character" w:styleId="797">
    <w:name w:val="footnote reference"/>
    <w:uiPriority w:val="99"/>
    <w:unhideWhenUsed/>
    <w:qFormat/>
    <w:rPr>
      <w:vertAlign w:val="superscript"/>
    </w:rPr>
  </w:style>
  <w:style w:type="paragraph" w:styleId="798">
    <w:name w:val="List Paragraph"/>
    <w:basedOn w:val="747"/>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747"/>
    <w:next w:val="747"/>
    <w:uiPriority w:val="29"/>
    <w:qFormat/>
    <w:pPr>
      <w:ind w:left="720" w:right="720"/>
    </w:pPr>
    <w:rPr>
      <w:i/>
    </w:rPr>
  </w:style>
  <w:style w:type="paragraph" w:styleId="801">
    <w:name w:val="Intense Quote"/>
    <w:basedOn w:val="747"/>
    <w:next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2"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29" w:customStyle="1">
    <w:name w:val="标题 41"/>
    <w:next w:val="747"/>
    <w:uiPriority w:val="0"/>
    <w:unhideWhenUsed/>
    <w:qFormat/>
    <w:pPr>
      <w:numPr>
        <w:ilvl w:val="3"/>
        <w:numId w:val="1"/>
      </w:numPr>
      <w:jc w:val="both"/>
      <w:keepLines/>
      <w:keepNext/>
      <w:spacing w:before="120" w:after="120" w:line="360" w:lineRule="auto"/>
      <w:widowControl w:val="off"/>
      <w:outlineLvl w:val="3"/>
    </w:pPr>
    <w:rPr>
      <w:rFonts w:hint="default" w:ascii="Times New Roman" w:hAnsi="Times New Roman" w:eastAsia="黑体" w:cs="Times New Roman"/>
      <w:b/>
      <w:bCs/>
      <w:sz w:val="24"/>
      <w:szCs w:val="28"/>
      <w:lang w:val="en-US" w:eastAsia="zh-CN" w:bidi="ar-SA"/>
    </w:r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列表段落1"/>
    <w:basedOn w:val="747"/>
    <w:uiPriority w:val="1"/>
    <w:qFormat/>
    <w:pPr>
      <w:contextualSpacing/>
      <w:ind w:left="720"/>
    </w:pPr>
  </w:style>
  <w:style w:type="paragraph" w:styleId="932"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引用1"/>
    <w:basedOn w:val="747"/>
    <w:next w:val="747"/>
    <w:link w:val="998"/>
    <w:uiPriority w:val="29"/>
    <w:qFormat/>
    <w:pPr>
      <w:ind w:left="720" w:right="720"/>
    </w:pPr>
    <w:rPr>
      <w:i/>
    </w:rPr>
  </w:style>
  <w:style w:type="paragraph" w:styleId="934" w:customStyle="1">
    <w:name w:val="明显引用1"/>
    <w:basedOn w:val="747"/>
    <w:next w:val="747"/>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5" w:customStyle="1">
    <w:name w:val="TOC 标题11"/>
    <w:uiPriority w:val="39"/>
    <w:unhideWhenUsed/>
    <w:qFormat/>
    <w:rPr>
      <w:rFonts w:hint="default" w:ascii="Times New Roman" w:hAnsi="Times New Roman" w:eastAsia="宋体" w:cs="Times New Roman"/>
      <w:lang w:val="en-US" w:eastAsia="zh-CN" w:bidi="ar-SA"/>
    </w:rPr>
  </w:style>
  <w:style w:type="paragraph" w:styleId="936" w:customStyle="1">
    <w:name w:val="正文文本首行缩进1"/>
    <w:basedOn w:val="764"/>
    <w:link w:val="1017"/>
    <w:uiPriority w:val="99"/>
    <w:unhideWhenUsed/>
    <w:qFormat/>
    <w:pPr>
      <w:ind w:left="0" w:firstLine="420"/>
      <w:spacing w:before="0" w:after="120"/>
    </w:pPr>
    <w:rPr>
      <w:sz w:val="22"/>
      <w:szCs w:val="22"/>
    </w:rPr>
  </w:style>
  <w:style w:type="paragraph" w:styleId="937" w:customStyle="1">
    <w:name w:val="正文文本首行缩进 21"/>
    <w:basedOn w:val="765"/>
    <w:link w:val="1018"/>
    <w:uiPriority w:val="0"/>
    <w:qFormat/>
    <w:pPr>
      <w:ind w:firstLine="420"/>
      <w:jc w:val="both"/>
    </w:pPr>
    <w:rPr>
      <w:sz w:val="21"/>
      <w:szCs w:val="24"/>
    </w:rPr>
  </w:style>
  <w:style w:type="paragraph" w:styleId="938" w:customStyle="1">
    <w:name w:val="段"/>
    <w:next w:val="747"/>
    <w:uiPriority w:val="0"/>
    <w:qFormat/>
    <w:pPr>
      <w:ind w:firstLine="200"/>
      <w:jc w:val="both"/>
    </w:pPr>
    <w:rPr>
      <w:rFonts w:hint="default" w:ascii="宋体" w:hAnsi="Times New Roman" w:eastAsia="宋体" w:cs="Times New Roman"/>
      <w:sz w:val="21"/>
      <w:lang w:val="en-US" w:eastAsia="zh-CN" w:bidi="ar-SA"/>
    </w:rPr>
  </w:style>
  <w:style w:type="paragraph" w:styleId="939" w:customStyle="1">
    <w:name w:val="列表段落111"/>
    <w:basedOn w:val="747"/>
    <w:link w:val="1019"/>
    <w:uiPriority w:val="34"/>
    <w:qFormat/>
    <w:pPr>
      <w:ind w:left="367" w:firstLine="420"/>
      <w:spacing w:before="132"/>
    </w:pPr>
    <w:rPr>
      <w:sz w:val="24"/>
      <w:szCs w:val="24"/>
    </w:rPr>
  </w:style>
  <w:style w:type="paragraph" w:styleId="940" w:customStyle="1">
    <w:name w:val="Table Paragraph"/>
    <w:basedOn w:val="747"/>
    <w:uiPriority w:val="1"/>
    <w:qFormat/>
    <w:pPr>
      <w:jc w:val="center"/>
      <w:spacing w:before="111"/>
    </w:pPr>
    <w:rPr>
      <w:sz w:val="24"/>
      <w:szCs w:val="24"/>
    </w:rPr>
  </w:style>
  <w:style w:type="paragraph" w:styleId="941" w:customStyle="1">
    <w:name w:val="Plain Text2"/>
    <w:basedOn w:val="747"/>
    <w:uiPriority w:val="0"/>
    <w:qFormat/>
    <w:pPr>
      <w:jc w:val="both"/>
    </w:pPr>
    <w:rPr>
      <w:rFonts w:hAnsi="Courier New" w:eastAsia="楷体_GB2312" w:cs="Times New Roman"/>
      <w:sz w:val="28"/>
      <w:szCs w:val="24"/>
    </w:rPr>
  </w:style>
  <w:style w:type="paragraph" w:styleId="942" w:customStyle="1">
    <w:name w:val="列表段落11"/>
    <w:basedOn w:val="747"/>
    <w:uiPriority w:val="34"/>
    <w:qFormat/>
    <w:pPr>
      <w:ind w:firstLine="420"/>
      <w:jc w:val="both"/>
    </w:pPr>
    <w:rPr>
      <w:rFonts w:ascii="等线" w:hAnsi="等线" w:eastAsia="等线" w:cs="Times New Roman"/>
      <w:sz w:val="21"/>
      <w:szCs w:val="24"/>
    </w:rPr>
  </w:style>
  <w:style w:type="paragraph" w:styleId="943" w:customStyle="1">
    <w:name w:val="彩色列表 - 强调文字颜色 11"/>
    <w:basedOn w:val="747"/>
    <w:uiPriority w:val="0"/>
    <w:qFormat/>
    <w:pPr>
      <w:ind w:firstLine="420"/>
      <w:jc w:val="both"/>
    </w:pPr>
    <w:rPr>
      <w:rFonts w:ascii="Times New Roman" w:eastAsia="等线" w:cs="Times New Roman"/>
      <w:sz w:val="21"/>
      <w:szCs w:val="24"/>
    </w:rPr>
  </w:style>
  <w:style w:type="paragraph" w:styleId="944" w:customStyle="1">
    <w:name w:val="xl24"/>
    <w:basedOn w:val="747"/>
    <w:uiPriority w:val="0"/>
    <w:qFormat/>
    <w:pPr>
      <w:jc w:val="center"/>
      <w:spacing w:before="100" w:beforeAutospacing="1" w:after="100" w:afterAutospacing="1"/>
      <w:widowControl/>
    </w:pPr>
    <w:rPr>
      <w:rFonts w:hint="eastAsia" w:hAnsi="宋体" w:cs="Times New Roman"/>
      <w:sz w:val="24"/>
      <w:szCs w:val="24"/>
    </w:rPr>
  </w:style>
  <w:style w:type="paragraph" w:styleId="945" w:customStyle="1">
    <w:name w:val="方案正文"/>
    <w:basedOn w:val="747"/>
    <w:link w:val="1022"/>
    <w:uiPriority w:val="0"/>
    <w:qFormat/>
    <w:pPr>
      <w:jc w:val="both"/>
      <w:spacing w:line="440" w:lineRule="atLeast"/>
    </w:pPr>
    <w:rPr>
      <w:rFonts w:ascii="Times New Roman" w:cs="Times New Roman"/>
      <w:sz w:val="24"/>
      <w:szCs w:val="20"/>
    </w:rPr>
  </w:style>
  <w:style w:type="paragraph" w:styleId="946" w:customStyle="1">
    <w:name w:val="列出段落2"/>
    <w:basedOn w:val="747"/>
    <w:uiPriority w:val="34"/>
    <w:qFormat/>
    <w:pPr>
      <w:ind w:firstLine="420"/>
      <w:jc w:val="both"/>
      <w:spacing w:line="360" w:lineRule="auto"/>
    </w:pPr>
    <w:rPr>
      <w:rFonts w:ascii="Calibri" w:hAnsi="Calibri" w:cs="Times New Roman"/>
      <w:sz w:val="24"/>
      <w:szCs w:val="20"/>
    </w:rPr>
  </w:style>
  <w:style w:type="paragraph" w:styleId="947" w:customStyle="1">
    <w:name w:val="列出段落12"/>
    <w:basedOn w:val="747"/>
    <w:uiPriority w:val="0"/>
    <w:qFormat/>
    <w:pPr>
      <w:ind w:firstLine="420"/>
      <w:jc w:val="both"/>
    </w:pPr>
    <w:rPr>
      <w:rFonts w:ascii="Times New Roman" w:cs="Times New Roman"/>
      <w:sz w:val="21"/>
      <w:szCs w:val="20"/>
    </w:rPr>
  </w:style>
  <w:style w:type="paragraph" w:styleId="948" w:customStyle="1">
    <w:name w:val="列出段落5"/>
    <w:basedOn w:val="747"/>
    <w:uiPriority w:val="0"/>
    <w:qFormat/>
    <w:pPr>
      <w:ind w:firstLine="420"/>
      <w:jc w:val="both"/>
    </w:pPr>
    <w:rPr>
      <w:rFonts w:ascii="Calibri" w:hAnsi="Calibri" w:cs="Times New Roman"/>
      <w:sz w:val="21"/>
      <w:szCs w:val="20"/>
    </w:rPr>
  </w:style>
  <w:style w:type="paragraph" w:styleId="949" w:customStyle="1">
    <w:name w:val="正文1"/>
    <w:basedOn w:val="747"/>
    <w:next w:val="747"/>
    <w:uiPriority w:val="0"/>
    <w:qFormat/>
    <w:pPr>
      <w:ind w:firstLine="420"/>
      <w:jc w:val="both"/>
      <w:spacing w:line="360" w:lineRule="auto"/>
      <w:tabs>
        <w:tab w:val="left" w:pos="420" w:leader="none"/>
      </w:tabs>
    </w:pPr>
    <w:rPr>
      <w:rFonts w:hAnsi="宋体" w:cs="Times New Roman"/>
      <w:sz w:val="21"/>
      <w:szCs w:val="20"/>
    </w:rPr>
  </w:style>
  <w:style w:type="paragraph" w:styleId="950" w:customStyle="1">
    <w:name w:val="纯文本1"/>
    <w:basedOn w:val="747"/>
    <w:link w:val="1024"/>
    <w:uiPriority w:val="0"/>
    <w:qFormat/>
    <w:pPr>
      <w:jc w:val="both"/>
    </w:pPr>
    <w:rPr>
      <w:rFonts w:hAnsi="Courier New" w:eastAsia="楷体_GB2312" w:cs="Times New Roman"/>
      <w:sz w:val="26"/>
      <w:szCs w:val="20"/>
    </w:rPr>
  </w:style>
  <w:style w:type="paragraph" w:styleId="951" w:customStyle="1">
    <w:name w:val="01 章标"/>
    <w:basedOn w:val="747"/>
    <w:link w:val="1027"/>
    <w:uiPriority w:val="0"/>
    <w:qFormat/>
    <w:pPr>
      <w:ind w:firstLine="883"/>
      <w:jc w:val="center"/>
      <w:outlineLvl w:val="0"/>
    </w:pPr>
    <w:rPr>
      <w:rFonts w:ascii="Times New Roman" w:cs="Times New Roman"/>
      <w:b/>
      <w:sz w:val="44"/>
      <w:szCs w:val="44"/>
    </w:rPr>
  </w:style>
  <w:style w:type="paragraph" w:styleId="952" w:customStyle="1">
    <w:name w:val="页眉与页脚"/>
    <w:uiPriority w:val="0"/>
    <w:qFormat/>
    <w:pPr>
      <w:tabs>
        <w:tab w:val="right" w:pos="9020" w:leader="none"/>
      </w:tabs>
    </w:pPr>
    <w:rPr>
      <w:rFonts w:hint="default" w:ascii="Helvetica Neue" w:hAnsi="Helvetica Neue" w:eastAsia="Arial Unicode MS" w:cs="Arial Unicode MS"/>
      <w:color w:val="000000"/>
      <w:sz w:val="24"/>
      <w:szCs w:val="24"/>
      <w:lang w:val="en-US" w:eastAsia="zh-CN" w:bidi="ar-SA"/>
    </w:rPr>
  </w:style>
  <w:style w:type="paragraph" w:styleId="953" w:customStyle="1">
    <w:name w:val="正文 A A"/>
    <w:uiPriority w:val="0"/>
    <w:qFormat/>
    <w:pPr>
      <w:jc w:val="both"/>
      <w:widowControl w:val="off"/>
    </w:pPr>
    <w:rPr>
      <w:rFonts w:hint="default" w:ascii="Calibri" w:hAnsi="Calibri" w:eastAsia="Calibri" w:cs="Calibri"/>
      <w:color w:val="000000"/>
      <w:sz w:val="21"/>
      <w:szCs w:val="21"/>
      <w:lang w:val="en-US" w:eastAsia="zh-CN" w:bidi="ar-SA"/>
    </w:rPr>
  </w:style>
  <w:style w:type="paragraph" w:styleId="95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955" w:customStyle="1">
    <w:name w:val="Andy_正文"/>
    <w:basedOn w:val="747"/>
    <w:uiPriority w:val="0"/>
    <w:qFormat/>
    <w:pPr>
      <w:ind w:firstLine="480"/>
      <w:jc w:val="both"/>
      <w:spacing w:line="360" w:lineRule="auto"/>
    </w:pPr>
    <w:rPr>
      <w:rFonts w:ascii="Times New Roman" w:cs="Times New Roman"/>
      <w:sz w:val="24"/>
      <w:szCs w:val="24"/>
    </w:rPr>
  </w:style>
  <w:style w:type="paragraph" w:styleId="956" w:customStyle="1">
    <w:name w:val="首行缩进"/>
    <w:basedOn w:val="747"/>
    <w:uiPriority w:val="0"/>
    <w:qFormat/>
    <w:pPr>
      <w:ind w:firstLine="480"/>
    </w:pPr>
    <w:rPr>
      <w:szCs w:val="20"/>
      <w:lang w:val="zh-CN"/>
    </w:rPr>
  </w:style>
  <w:style w:type="paragraph" w:styleId="957" w:customStyle="1">
    <w:name w:val="+正文"/>
    <w:basedOn w:val="747"/>
    <w:uiPriority w:val="0"/>
    <w:qFormat/>
    <w:pPr>
      <w:ind w:firstLine="200"/>
      <w:spacing w:line="360" w:lineRule="auto"/>
      <w:widowControl/>
    </w:pPr>
    <w:rPr>
      <w:rFonts w:ascii="Times New Roman" w:cs="Times New Roman"/>
      <w:sz w:val="24"/>
      <w:szCs w:val="24"/>
    </w:rPr>
  </w:style>
  <w:style w:type="paragraph" w:styleId="958" w:customStyle="1">
    <w:name w:val="*正文"/>
    <w:basedOn w:val="747"/>
    <w:uiPriority w:val="0"/>
    <w:qFormat/>
    <w:rPr>
      <w:rFonts w:hAnsi="宋体"/>
      <w:sz w:val="24"/>
      <w:lang w:val="zh-CN"/>
    </w:rPr>
  </w:style>
  <w:style w:type="paragraph" w:styleId="959" w:customStyle="1">
    <w:name w:val="p17"/>
    <w:basedOn w:val="747"/>
    <w:uiPriority w:val="99"/>
    <w:qFormat/>
    <w:pPr>
      <w:widowControl/>
    </w:pPr>
    <w:rPr>
      <w:rFonts w:hAnsi="宋体"/>
      <w:sz w:val="26"/>
      <w:szCs w:val="26"/>
    </w:rPr>
  </w:style>
  <w:style w:type="paragraph" w:styleId="960" w:customStyle="1">
    <w:name w:val="列出段落1"/>
    <w:basedOn w:val="747"/>
    <w:uiPriority w:val="0"/>
    <w:qFormat/>
    <w:pPr>
      <w:ind w:firstLine="420"/>
    </w:pPr>
    <w:rPr>
      <w:rFonts w:ascii="Calibri" w:hAnsi="Calibri"/>
    </w:rPr>
  </w:style>
  <w:style w:type="paragraph" w:styleId="961" w:customStyle="1">
    <w:name w:val="Char"/>
    <w:basedOn w:val="747"/>
    <w:uiPriority w:val="0"/>
    <w:qFormat/>
    <w:pPr>
      <w:spacing w:after="160" w:line="240" w:lineRule="exact"/>
      <w:widowControl/>
    </w:pPr>
    <w:rPr>
      <w:rFonts w:ascii="Verdana" w:hAnsi="Verdana" w:eastAsia="仿宋_GB2312" w:cs="Times New Roman"/>
      <w:sz w:val="24"/>
      <w:lang w:eastAsia="en-US"/>
    </w:rPr>
  </w:style>
  <w:style w:type="paragraph" w:styleId="962" w:customStyle="1">
    <w:name w:val="纯文本2"/>
    <w:basedOn w:val="747"/>
    <w:link w:val="1043"/>
    <w:uiPriority w:val="0"/>
    <w:qFormat/>
    <w:pPr>
      <w:jc w:val="both"/>
    </w:pPr>
    <w:rPr>
      <w:rFonts w:hAnsi="Courier New" w:eastAsia="楷体_GB2312" w:cs="Times New Roman"/>
      <w:sz w:val="26"/>
      <w:szCs w:val="20"/>
    </w:rPr>
  </w:style>
  <w:style w:type="paragraph" w:styleId="963" w:customStyle="1">
    <w:name w:val="_Style 172"/>
    <w:basedOn w:val="747"/>
    <w:next w:val="931"/>
    <w:uiPriority w:val="0"/>
    <w:qFormat/>
    <w:pPr>
      <w:ind w:firstLine="420"/>
      <w:jc w:val="both"/>
      <w:spacing w:line="360" w:lineRule="auto"/>
    </w:pPr>
    <w:rPr>
      <w:rFonts w:ascii="Calibri" w:hAnsi="Calibri" w:cs="Times New Roman"/>
      <w:sz w:val="24"/>
      <w:szCs w:val="20"/>
    </w:rPr>
  </w:style>
  <w:style w:type="paragraph" w:styleId="964" w:customStyle="1">
    <w:name w:val="_正文段落"/>
    <w:basedOn w:val="747"/>
    <w:next w:val="747"/>
    <w:link w:val="1046"/>
    <w:uiPriority w:val="0"/>
    <w:qFormat/>
    <w:pPr>
      <w:ind w:firstLine="200"/>
      <w:jc w:val="both"/>
      <w:spacing w:line="360" w:lineRule="auto"/>
    </w:pPr>
    <w:rPr>
      <w:rFonts w:hAnsi="宋体" w:cs="Times New Roman"/>
      <w:sz w:val="24"/>
      <w:szCs w:val="24"/>
    </w:rPr>
  </w:style>
  <w:style w:type="paragraph" w:styleId="965" w:customStyle="1">
    <w:name w:val="纯文本11"/>
    <w:basedOn w:val="747"/>
    <w:next w:val="966"/>
    <w:link w:val="1049"/>
    <w:uiPriority w:val="0"/>
    <w:qFormat/>
    <w:pPr>
      <w:widowControl/>
    </w:pPr>
    <w:rPr>
      <w:rFonts w:hAnsi="Courier New" w:eastAsia="楷体_GB2312" w:cs="Times New Roman"/>
      <w:sz w:val="26"/>
      <w:szCs w:val="24"/>
    </w:rPr>
  </w:style>
  <w:style w:type="paragraph" w:styleId="966" w:customStyle="1">
    <w:name w:val="页眉1"/>
    <w:basedOn w:val="747"/>
    <w:next w:val="74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67" w:customStyle="1">
    <w:name w:val="Table Text"/>
    <w:link w:val="1051"/>
    <w:uiPriority w:val="0"/>
    <w:qFormat/>
    <w:pPr>
      <w:spacing w:before="80" w:after="80"/>
    </w:pPr>
    <w:rPr>
      <w:rFonts w:hint="default" w:ascii="Arial" w:hAnsi="Arial" w:eastAsia="Times New Roman" w:cs="Arial"/>
      <w:sz w:val="18"/>
      <w:szCs w:val="18"/>
      <w:lang w:val="en-US" w:eastAsia="zh-CN" w:bidi="ar-SA"/>
    </w:rPr>
  </w:style>
  <w:style w:type="paragraph" w:styleId="968" w:customStyle="1">
    <w:name w:val="文档结构图1"/>
    <w:basedOn w:val="747"/>
    <w:next w:val="965"/>
    <w:uiPriority w:val="0"/>
    <w:qFormat/>
    <w:pPr>
      <w:widowControl/>
    </w:pPr>
    <w:rPr>
      <w:rFonts w:eastAsia="Arial Unicode MS" w:cs="Times New Roman"/>
      <w:sz w:val="18"/>
      <w:szCs w:val="18"/>
      <w:lang w:eastAsia="en-US"/>
    </w:rPr>
  </w:style>
  <w:style w:type="paragraph" w:styleId="969" w:customStyle="1">
    <w:name w:val="正文文本缩进1"/>
    <w:basedOn w:val="747"/>
    <w:next w:val="970"/>
    <w:uiPriority w:val="99"/>
    <w:unhideWhenUsed/>
    <w:qFormat/>
    <w:pPr>
      <w:ind w:left="420"/>
      <w:spacing w:after="120"/>
    </w:pPr>
    <w:rPr>
      <w:rFonts w:cs="Times New Roman"/>
      <w:szCs w:val="20"/>
    </w:rPr>
  </w:style>
  <w:style w:type="paragraph" w:styleId="970" w:customStyle="1">
    <w:name w:val="寄信人地址1"/>
    <w:basedOn w:val="747"/>
    <w:uiPriority w:val="0"/>
    <w:qFormat/>
    <w:rPr>
      <w:sz w:val="26"/>
    </w:rPr>
  </w:style>
  <w:style w:type="paragraph" w:styleId="971" w:customStyle="1">
    <w:name w:val="_正文"/>
    <w:basedOn w:val="747"/>
    <w:uiPriority w:val="0"/>
    <w:qFormat/>
    <w:pPr>
      <w:ind w:firstLine="200"/>
      <w:spacing w:line="360" w:lineRule="auto"/>
    </w:pPr>
    <w:rPr>
      <w:sz w:val="24"/>
      <w:szCs w:val="24"/>
    </w:rPr>
  </w:style>
  <w:style w:type="paragraph" w:styleId="972" w:customStyle="1">
    <w:name w:val="纯文本3"/>
    <w:basedOn w:val="747"/>
    <w:uiPriority w:val="0"/>
    <w:qFormat/>
    <w:rPr>
      <w:rFonts w:hAnsi="Courier New" w:eastAsia="楷体_GB2312"/>
      <w:sz w:val="26"/>
      <w:szCs w:val="20"/>
    </w:rPr>
  </w:style>
  <w:style w:type="character" w:styleId="973" w:customStyle="1">
    <w:name w:val="标题 4 字符"/>
    <w:link w:val="751"/>
    <w:uiPriority w:val="1"/>
    <w:qFormat/>
    <w:rPr>
      <w:rFonts w:ascii="宋体" w:hAnsi="Times New Roman" w:eastAsia="宋体" w:cs="宋体"/>
      <w:b/>
      <w:bCs/>
      <w:sz w:val="32"/>
      <w:szCs w:val="32"/>
    </w:rPr>
  </w:style>
  <w:style w:type="character" w:styleId="974" w:customStyle="1">
    <w:name w:val="标题 2 字符"/>
    <w:link w:val="749"/>
    <w:uiPriority w:val="0"/>
    <w:qFormat/>
    <w:rPr>
      <w:rFonts w:ascii="宋体" w:hAnsi="Times New Roman" w:eastAsia="宋体" w:cs="宋体"/>
      <w:b/>
      <w:bCs/>
      <w:sz w:val="44"/>
      <w:szCs w:val="44"/>
    </w:rPr>
  </w:style>
  <w:style w:type="character" w:styleId="975" w:customStyle="1">
    <w:name w:val="标题 3 字符"/>
    <w:link w:val="750"/>
    <w:uiPriority w:val="1"/>
    <w:qFormat/>
    <w:rPr>
      <w:rFonts w:ascii="宋体" w:hAnsi="Times New Roman" w:eastAsia="宋体" w:cs="宋体"/>
      <w:b/>
      <w:bCs/>
      <w:sz w:val="36"/>
      <w:szCs w:val="36"/>
    </w:rPr>
  </w:style>
  <w:style w:type="character" w:styleId="976" w:customStyle="1">
    <w:name w:val="标题 1 字符"/>
    <w:link w:val="748"/>
    <w:uiPriority w:val="1"/>
    <w:qFormat/>
    <w:rPr>
      <w:rFonts w:ascii="宋体" w:hAnsi="Times New Roman" w:eastAsia="宋体" w:cs="宋体"/>
      <w:b/>
      <w:bCs/>
      <w:sz w:val="72"/>
      <w:szCs w:val="72"/>
    </w:rPr>
  </w:style>
  <w:style w:type="character" w:styleId="977" w:customStyle="1">
    <w:name w:val="标题 5 字符"/>
    <w:link w:val="752"/>
    <w:uiPriority w:val="1"/>
    <w:qFormat/>
    <w:rPr>
      <w:rFonts w:ascii="宋体" w:hAnsi="Times New Roman" w:eastAsia="宋体" w:cs="宋体"/>
      <w:sz w:val="24"/>
      <w:szCs w:val="24"/>
    </w:rPr>
  </w:style>
  <w:style w:type="character" w:styleId="978" w:customStyle="1">
    <w:name w:val="Heading 7 Char"/>
    <w:basedOn w:val="757"/>
    <w:uiPriority w:val="9"/>
    <w:qFormat/>
    <w:rPr>
      <w:rFonts w:ascii="Arial" w:hAnsi="Arial" w:eastAsia="Arial" w:cs="Arial"/>
      <w:b/>
      <w:bCs/>
      <w:i/>
      <w:iCs/>
      <w:sz w:val="22"/>
      <w:szCs w:val="22"/>
    </w:rPr>
  </w:style>
  <w:style w:type="character" w:styleId="979" w:customStyle="1">
    <w:name w:val="Heading 8 Char"/>
    <w:basedOn w:val="757"/>
    <w:uiPriority w:val="9"/>
    <w:qFormat/>
    <w:rPr>
      <w:rFonts w:ascii="Arial" w:hAnsi="Arial" w:eastAsia="Arial" w:cs="Arial"/>
      <w:i/>
      <w:iCs/>
      <w:sz w:val="22"/>
      <w:szCs w:val="22"/>
    </w:rPr>
  </w:style>
  <w:style w:type="character" w:styleId="980" w:customStyle="1">
    <w:name w:val="Heading 9 Char"/>
    <w:basedOn w:val="757"/>
    <w:uiPriority w:val="9"/>
    <w:qFormat/>
    <w:rPr>
      <w:rFonts w:ascii="Arial" w:hAnsi="Arial" w:eastAsia="Arial" w:cs="Arial"/>
      <w:i/>
      <w:iCs/>
      <w:sz w:val="21"/>
      <w:szCs w:val="21"/>
    </w:rPr>
  </w:style>
  <w:style w:type="character" w:styleId="981" w:customStyle="1">
    <w:name w:val="Title Char"/>
    <w:basedOn w:val="757"/>
    <w:uiPriority w:val="10"/>
    <w:qFormat/>
    <w:rPr>
      <w:sz w:val="48"/>
      <w:szCs w:val="48"/>
    </w:rPr>
  </w:style>
  <w:style w:type="character" w:styleId="982" w:customStyle="1">
    <w:name w:val="Subtitle Char"/>
    <w:basedOn w:val="757"/>
    <w:uiPriority w:val="11"/>
    <w:qFormat/>
    <w:rPr>
      <w:sz w:val="24"/>
      <w:szCs w:val="24"/>
    </w:rPr>
  </w:style>
  <w:style w:type="character" w:styleId="983" w:customStyle="1">
    <w:name w:val="Quote Char"/>
    <w:uiPriority w:val="29"/>
    <w:qFormat/>
    <w:rPr>
      <w:i/>
    </w:rPr>
  </w:style>
  <w:style w:type="character" w:styleId="984" w:customStyle="1">
    <w:name w:val="Intense Quote Char"/>
    <w:uiPriority w:val="30"/>
    <w:qFormat/>
    <w:rPr>
      <w:i/>
    </w:r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character" w:styleId="987" w:customStyle="1">
    <w:name w:val="Heading 1 Char"/>
    <w:uiPriority w:val="9"/>
    <w:qFormat/>
    <w:rPr>
      <w:rFonts w:ascii="Arial" w:hAnsi="Arial" w:eastAsia="Arial" w:cs="Arial"/>
      <w:sz w:val="40"/>
      <w:szCs w:val="40"/>
    </w:rPr>
  </w:style>
  <w:style w:type="character" w:styleId="988" w:customStyle="1">
    <w:name w:val="Heading 2 Char"/>
    <w:uiPriority w:val="9"/>
    <w:qFormat/>
    <w:rPr>
      <w:rFonts w:ascii="Arial" w:hAnsi="Arial" w:eastAsia="Arial" w:cs="Arial"/>
      <w:sz w:val="34"/>
    </w:rPr>
  </w:style>
  <w:style w:type="character" w:styleId="989" w:customStyle="1">
    <w:name w:val="Heading 3 Char"/>
    <w:uiPriority w:val="9"/>
    <w:qFormat/>
    <w:rPr>
      <w:rFonts w:ascii="Arial" w:hAnsi="Arial" w:eastAsia="Arial" w:cs="Arial"/>
      <w:sz w:val="30"/>
      <w:szCs w:val="30"/>
    </w:rPr>
  </w:style>
  <w:style w:type="character" w:styleId="990" w:customStyle="1">
    <w:name w:val="Heading 4 Char"/>
    <w:uiPriority w:val="9"/>
    <w:qFormat/>
    <w:rPr>
      <w:rFonts w:ascii="Arial" w:hAnsi="Arial" w:eastAsia="Arial" w:cs="Arial"/>
      <w:b/>
      <w:bCs/>
      <w:sz w:val="26"/>
      <w:szCs w:val="26"/>
    </w:rPr>
  </w:style>
  <w:style w:type="character" w:styleId="991" w:customStyle="1">
    <w:name w:val="Heading 5 Char"/>
    <w:uiPriority w:val="9"/>
    <w:qFormat/>
    <w:rPr>
      <w:rFonts w:ascii="Arial" w:hAnsi="Arial" w:eastAsia="Arial" w:cs="Arial"/>
      <w:b/>
      <w:bCs/>
      <w:sz w:val="24"/>
      <w:szCs w:val="24"/>
    </w:rPr>
  </w:style>
  <w:style w:type="character" w:styleId="992" w:customStyle="1">
    <w:name w:val="Heading 6 Char"/>
    <w:uiPriority w:val="9"/>
    <w:qFormat/>
    <w:rPr>
      <w:rFonts w:ascii="Arial" w:hAnsi="Arial" w:eastAsia="Arial" w:cs="Arial"/>
      <w:b/>
      <w:bCs/>
      <w:sz w:val="22"/>
      <w:szCs w:val="22"/>
    </w:rPr>
  </w:style>
  <w:style w:type="character" w:styleId="993" w:customStyle="1">
    <w:name w:val="标题 7 字符"/>
    <w:link w:val="754"/>
    <w:uiPriority w:val="9"/>
    <w:qFormat/>
    <w:rPr>
      <w:rFonts w:ascii="Arial" w:hAnsi="Arial" w:eastAsia="Arial" w:cs="Arial"/>
      <w:b/>
      <w:bCs/>
      <w:i/>
      <w:iCs/>
      <w:sz w:val="22"/>
      <w:szCs w:val="22"/>
    </w:rPr>
  </w:style>
  <w:style w:type="character" w:styleId="994" w:customStyle="1">
    <w:name w:val="标题 8 字符"/>
    <w:link w:val="755"/>
    <w:uiPriority w:val="9"/>
    <w:qFormat/>
    <w:rPr>
      <w:rFonts w:ascii="Arial" w:hAnsi="Arial" w:eastAsia="Arial" w:cs="Arial"/>
      <w:i/>
      <w:iCs/>
      <w:sz w:val="22"/>
      <w:szCs w:val="22"/>
    </w:rPr>
  </w:style>
  <w:style w:type="character" w:styleId="995" w:customStyle="1">
    <w:name w:val="标题 9 字符"/>
    <w:link w:val="756"/>
    <w:uiPriority w:val="9"/>
    <w:qFormat/>
    <w:rPr>
      <w:rFonts w:ascii="Arial" w:hAnsi="Arial" w:eastAsia="Arial" w:cs="Arial"/>
      <w:i/>
      <w:iCs/>
      <w:sz w:val="21"/>
      <w:szCs w:val="21"/>
    </w:rPr>
  </w:style>
  <w:style w:type="character" w:styleId="996" w:customStyle="1">
    <w:name w:val="标题 字符"/>
    <w:link w:val="787"/>
    <w:uiPriority w:val="10"/>
    <w:qFormat/>
    <w:rPr>
      <w:sz w:val="48"/>
      <w:szCs w:val="48"/>
    </w:rPr>
  </w:style>
  <w:style w:type="character" w:styleId="997" w:customStyle="1">
    <w:name w:val="副标题 字符"/>
    <w:link w:val="779"/>
    <w:uiPriority w:val="11"/>
    <w:qFormat/>
    <w:rPr>
      <w:sz w:val="24"/>
      <w:szCs w:val="24"/>
    </w:rPr>
  </w:style>
  <w:style w:type="character" w:styleId="998" w:customStyle="1">
    <w:name w:val="引用 字符"/>
    <w:link w:val="933"/>
    <w:uiPriority w:val="29"/>
    <w:qFormat/>
    <w:rPr>
      <w:i/>
    </w:rPr>
  </w:style>
  <w:style w:type="character" w:styleId="999" w:customStyle="1">
    <w:name w:val="明显引用 字符"/>
    <w:link w:val="934"/>
    <w:uiPriority w:val="30"/>
    <w:qFormat/>
    <w:rPr>
      <w:i/>
    </w:rPr>
  </w:style>
  <w:style w:type="character" w:styleId="1000" w:customStyle="1">
    <w:name w:val="Header Char"/>
    <w:uiPriority w:val="99"/>
    <w:qFormat/>
  </w:style>
  <w:style w:type="character" w:styleId="1001" w:customStyle="1">
    <w:name w:val="Footer Char"/>
    <w:uiPriority w:val="99"/>
    <w:qFormat/>
  </w:style>
  <w:style w:type="character" w:styleId="1002" w:customStyle="1">
    <w:name w:val="Caption Char"/>
    <w:uiPriority w:val="99"/>
    <w:qFormat/>
  </w:style>
  <w:style w:type="character" w:styleId="1003" w:customStyle="1">
    <w:name w:val="脚注文本 字符"/>
    <w:link w:val="780"/>
    <w:uiPriority w:val="99"/>
    <w:qFormat/>
    <w:rPr>
      <w:sz w:val="18"/>
    </w:rPr>
  </w:style>
  <w:style w:type="character" w:styleId="1004" w:customStyle="1">
    <w:name w:val="尾注文本 字符"/>
    <w:link w:val="774"/>
    <w:uiPriority w:val="99"/>
    <w:qFormat/>
    <w:rPr>
      <w:sz w:val="20"/>
    </w:rPr>
  </w:style>
  <w:style w:type="character" w:styleId="1005" w:customStyle="1">
    <w:name w:val="标题 6 字符"/>
    <w:link w:val="753"/>
    <w:uiPriority w:val="1"/>
    <w:qFormat/>
    <w:rPr>
      <w:rFonts w:ascii="宋体" w:hAnsi="Times New Roman" w:eastAsia="宋体" w:cs="宋体"/>
      <w:b/>
      <w:bCs/>
      <w:szCs w:val="21"/>
    </w:rPr>
  </w:style>
  <w:style w:type="character" w:styleId="1006" w:customStyle="1">
    <w:name w:val="正文缩进 字符"/>
    <w:link w:val="760"/>
    <w:uiPriority w:val="0"/>
    <w:qFormat/>
    <w:rPr>
      <w:rFonts w:ascii="Times New Roman" w:hAnsi="Times New Roman" w:eastAsia="楷体_GB2312"/>
      <w:sz w:val="21"/>
    </w:rPr>
  </w:style>
  <w:style w:type="character" w:styleId="1007" w:customStyle="1">
    <w:name w:val="批注文字 字符"/>
    <w:link w:val="763"/>
    <w:uiPriority w:val="0"/>
    <w:qFormat/>
    <w:rPr>
      <w:rFonts w:ascii="Calibri" w:hAnsi="Calibri" w:eastAsia="宋体" w:cs="宋体"/>
    </w:rPr>
  </w:style>
  <w:style w:type="character" w:styleId="1008" w:customStyle="1">
    <w:name w:val="正文文本 字符"/>
    <w:link w:val="764"/>
    <w:uiPriority w:val="99"/>
    <w:qFormat/>
    <w:rPr>
      <w:rFonts w:ascii="宋体" w:hAnsi="Times New Roman" w:eastAsia="宋体" w:cs="宋体"/>
      <w:szCs w:val="21"/>
    </w:rPr>
  </w:style>
  <w:style w:type="character" w:styleId="1009" w:customStyle="1">
    <w:name w:val="正文文本缩进 字符"/>
    <w:link w:val="765"/>
    <w:uiPriority w:val="99"/>
    <w:qFormat/>
    <w:rPr>
      <w:rFonts w:ascii="宋体" w:hAnsi="Times New Roman" w:eastAsia="宋体" w:cs="宋体"/>
      <w:sz w:val="22"/>
    </w:rPr>
  </w:style>
  <w:style w:type="character" w:styleId="1010" w:customStyle="1">
    <w:name w:val="纯文本 字符"/>
    <w:uiPriority w:val="0"/>
    <w:qFormat/>
    <w:rPr>
      <w:rFonts w:ascii="宋体" w:hAnsi="Courier New" w:eastAsia="楷体_GB2312"/>
      <w:sz w:val="26"/>
    </w:rPr>
  </w:style>
  <w:style w:type="character" w:styleId="1011" w:customStyle="1">
    <w:name w:val="日期 字符"/>
    <w:link w:val="773"/>
    <w:uiPriority w:val="99"/>
    <w:semiHidden/>
    <w:qFormat/>
    <w:rPr>
      <w:rFonts w:ascii="宋体" w:hAnsi="Times New Roman" w:eastAsia="宋体" w:cs="宋体"/>
      <w:sz w:val="22"/>
      <w:szCs w:val="22"/>
    </w:rPr>
  </w:style>
  <w:style w:type="character" w:styleId="1012" w:customStyle="1">
    <w:name w:val="页脚 字符"/>
    <w:link w:val="776"/>
    <w:uiPriority w:val="99"/>
    <w:qFormat/>
    <w:rPr>
      <w:rFonts w:ascii="宋体" w:hAnsi="Times New Roman" w:eastAsia="宋体" w:cs="宋体"/>
      <w:sz w:val="18"/>
      <w:szCs w:val="18"/>
    </w:rPr>
  </w:style>
  <w:style w:type="character" w:styleId="1013" w:customStyle="1">
    <w:name w:val="页眉 字符"/>
    <w:link w:val="771"/>
    <w:uiPriority w:val="99"/>
    <w:qFormat/>
    <w:rPr>
      <w:rFonts w:ascii="宋体" w:hAnsi="Times New Roman" w:eastAsia="宋体" w:cs="宋体"/>
      <w:sz w:val="18"/>
      <w:szCs w:val="18"/>
    </w:rPr>
  </w:style>
  <w:style w:type="character" w:styleId="1014" w:customStyle="1">
    <w:name w:val="正文文本缩进 3 字符"/>
    <w:link w:val="782"/>
    <w:uiPriority w:val="99"/>
    <w:qFormat/>
    <w:rPr>
      <w:rFonts w:ascii="宋体" w:hAnsi="Times New Roman" w:eastAsia="宋体" w:cs="宋体"/>
      <w:sz w:val="16"/>
      <w:szCs w:val="16"/>
    </w:rPr>
  </w:style>
  <w:style w:type="character" w:styleId="1015" w:customStyle="1">
    <w:name w:val="普通(网站) 字符"/>
    <w:link w:val="786"/>
    <w:uiPriority w:val="99"/>
    <w:qFormat/>
    <w:rPr>
      <w:rFonts w:ascii="Times New Roman" w:hAnsi="Times New Roman" w:eastAsia="宋体" w:cs="宋体"/>
      <w:sz w:val="24"/>
      <w:szCs w:val="21"/>
    </w:rPr>
  </w:style>
  <w:style w:type="character" w:styleId="1016" w:customStyle="1">
    <w:name w:val="批注主题 字符"/>
    <w:link w:val="788"/>
    <w:uiPriority w:val="99"/>
    <w:semiHidden/>
    <w:qFormat/>
    <w:rPr>
      <w:rFonts w:ascii="宋体" w:hAnsi="Times New Roman" w:eastAsia="宋体" w:cs="宋体"/>
      <w:b/>
      <w:bCs/>
      <w:sz w:val="22"/>
      <w:szCs w:val="22"/>
    </w:rPr>
  </w:style>
  <w:style w:type="character" w:styleId="1017" w:customStyle="1">
    <w:name w:val="正文文本首行缩进 字符"/>
    <w:link w:val="936"/>
    <w:uiPriority w:val="99"/>
    <w:qFormat/>
    <w:rPr>
      <w:rFonts w:ascii="宋体" w:hAnsi="Times New Roman" w:eastAsia="宋体" w:cs="宋体"/>
      <w:sz w:val="22"/>
      <w:szCs w:val="22"/>
    </w:rPr>
  </w:style>
  <w:style w:type="character" w:styleId="1018" w:customStyle="1">
    <w:name w:val="正文文本首行缩进 2 字符"/>
    <w:link w:val="937"/>
    <w:uiPriority w:val="0"/>
    <w:qFormat/>
    <w:rPr>
      <w:rFonts w:ascii="宋体" w:hAnsi="Times New Roman" w:eastAsia="宋体" w:cs="宋体"/>
      <w:sz w:val="21"/>
      <w:szCs w:val="24"/>
    </w:rPr>
  </w:style>
  <w:style w:type="character" w:styleId="1019" w:customStyle="1">
    <w:name w:val="列表段落 字符"/>
    <w:link w:val="939"/>
    <w:uiPriority w:val="34"/>
    <w:qFormat/>
    <w:rPr>
      <w:rFonts w:ascii="宋体" w:cs="宋体"/>
      <w:sz w:val="24"/>
      <w:szCs w:val="24"/>
    </w:rPr>
  </w:style>
  <w:style w:type="character" w:styleId="1020" w:customStyle="1">
    <w:name w:val="标题 4 Char"/>
    <w:uiPriority w:val="0"/>
    <w:qFormat/>
    <w:rPr>
      <w:rFonts w:ascii="Arial" w:hAnsi="Arial" w:eastAsia="黑体"/>
      <w:b/>
      <w:sz w:val="28"/>
    </w:rPr>
  </w:style>
  <w:style w:type="character" w:styleId="1021" w:customStyle="1">
    <w:name w:val="正文文本缩进 字符1"/>
    <w:uiPriority w:val="0"/>
    <w:qFormat/>
    <w:rPr>
      <w:rFonts w:ascii="宋体" w:eastAsia="宋体"/>
      <w:sz w:val="28"/>
      <w:lang w:val="en-US" w:eastAsia="zh-CN" w:bidi="ar-SA"/>
    </w:rPr>
  </w:style>
  <w:style w:type="character" w:styleId="1022" w:customStyle="1">
    <w:name w:val="方案正文 Char"/>
    <w:link w:val="945"/>
    <w:uiPriority w:val="0"/>
    <w:qFormat/>
    <w:rPr>
      <w:sz w:val="24"/>
    </w:rPr>
  </w:style>
  <w:style w:type="character" w:styleId="1023" w:customStyle="1">
    <w:name w:val="font41"/>
    <w:uiPriority w:val="0"/>
    <w:qFormat/>
    <w:rPr>
      <w:rFonts w:hint="eastAsia" w:ascii="宋体" w:hAnsi="宋体" w:eastAsia="宋体" w:cs="宋体"/>
      <w:color w:val="000000"/>
      <w:sz w:val="20"/>
      <w:szCs w:val="20"/>
      <w:u w:val="none"/>
    </w:rPr>
  </w:style>
  <w:style w:type="character" w:styleId="1024" w:customStyle="1">
    <w:name w:val="Plain Text Char1"/>
    <w:link w:val="950"/>
    <w:uiPriority w:val="0"/>
    <w:qFormat/>
    <w:rPr>
      <w:rFonts w:ascii="宋体" w:hAnsi="Courier New" w:eastAsia="楷体_GB2312"/>
      <w:sz w:val="26"/>
    </w:rPr>
  </w:style>
  <w:style w:type="character" w:styleId="1025" w:customStyle="1">
    <w:name w:val="页眉 字符2"/>
    <w:uiPriority w:val="99"/>
    <w:qFormat/>
    <w:rPr>
      <w:rFonts w:eastAsia="宋体"/>
      <w:sz w:val="18"/>
      <w:lang w:val="en-US" w:eastAsia="zh-CN" w:bidi="ar-SA"/>
    </w:rPr>
  </w:style>
  <w:style w:type="character" w:styleId="1026" w:customStyle="1">
    <w:name w:val="页脚 字符2"/>
    <w:uiPriority w:val="99"/>
    <w:qFormat/>
    <w:rPr>
      <w:rFonts w:eastAsia="宋体"/>
      <w:sz w:val="18"/>
      <w:lang w:val="en-US" w:eastAsia="zh-CN" w:bidi="ar-SA"/>
    </w:rPr>
  </w:style>
  <w:style w:type="character" w:styleId="1027" w:customStyle="1">
    <w:name w:val="01 章标 Char"/>
    <w:link w:val="951"/>
    <w:uiPriority w:val="0"/>
    <w:qFormat/>
    <w:rPr>
      <w:b/>
      <w:sz w:val="44"/>
      <w:szCs w:val="44"/>
    </w:rPr>
  </w:style>
  <w:style w:type="character" w:styleId="1028" w:customStyle="1">
    <w:name w:val="纯文本 字符1"/>
    <w:uiPriority w:val="99"/>
    <w:qFormat/>
    <w:rPr>
      <w:rFonts w:ascii="宋体" w:hAnsi="Courier New" w:eastAsia="宋体" w:cs="Courier New"/>
      <w:sz w:val="21"/>
      <w:szCs w:val="21"/>
    </w:rPr>
  </w:style>
  <w:style w:type="character" w:styleId="1029" w:customStyle="1">
    <w:name w:val="未处理的提及1"/>
    <w:uiPriority w:val="99"/>
    <w:unhideWhenUsed/>
    <w:qFormat/>
    <w:rPr>
      <w:color w:val="605e5c"/>
      <w:shd w:val="clear" w:color="auto" w:fill="e1dfdd"/>
    </w:rPr>
  </w:style>
  <w:style w:type="character" w:styleId="1030" w:customStyle="1">
    <w:name w:val="font01"/>
    <w:uiPriority w:val="0"/>
    <w:qFormat/>
    <w:rPr>
      <w:rFonts w:ascii="Arial" w:hAnsi="Arial" w:cs="Arial"/>
      <w:color w:val="000000"/>
      <w:sz w:val="20"/>
      <w:szCs w:val="20"/>
      <w:u w:val="none"/>
    </w:rPr>
  </w:style>
  <w:style w:type="character" w:styleId="1031" w:customStyle="1">
    <w:name w:val="NormalCharacter1"/>
    <w:uiPriority w:val="0"/>
    <w:qFormat/>
  </w:style>
  <w:style w:type="character" w:styleId="1032" w:customStyle="1">
    <w:name w:val="font51"/>
    <w:uiPriority w:val="0"/>
    <w:qFormat/>
    <w:rPr>
      <w:rFonts w:hint="eastAsia" w:ascii="宋体" w:hAnsi="宋体" w:eastAsia="宋体" w:cs="宋体"/>
      <w:b/>
      <w:bCs/>
      <w:color w:val="000000"/>
      <w:sz w:val="21"/>
      <w:szCs w:val="21"/>
      <w:u w:val="none"/>
    </w:rPr>
  </w:style>
  <w:style w:type="character" w:styleId="1033" w:customStyle="1">
    <w:name w:val="font71"/>
    <w:uiPriority w:val="0"/>
    <w:qFormat/>
    <w:rPr>
      <w:rFonts w:hint="eastAsia" w:ascii="宋体" w:hAnsi="宋体" w:eastAsia="宋体" w:cs="宋体"/>
      <w:color w:val="000000"/>
      <w:sz w:val="24"/>
      <w:szCs w:val="24"/>
      <w:u w:val="none"/>
    </w:rPr>
  </w:style>
  <w:style w:type="character" w:styleId="1034" w:customStyle="1">
    <w:name w:val="font91"/>
    <w:uiPriority w:val="0"/>
    <w:qFormat/>
    <w:rPr>
      <w:rFonts w:hint="eastAsia" w:ascii="宋体" w:hAnsi="宋体" w:eastAsia="宋体" w:cs="宋体"/>
      <w:color w:val="000000"/>
      <w:sz w:val="21"/>
      <w:szCs w:val="21"/>
      <w:u w:val="none"/>
    </w:rPr>
  </w:style>
  <w:style w:type="character" w:styleId="1035" w:customStyle="1">
    <w:name w:val="font61"/>
    <w:uiPriority w:val="0"/>
    <w:qFormat/>
    <w:rPr>
      <w:rFonts w:hint="eastAsia" w:ascii="宋体" w:hAnsi="宋体" w:eastAsia="宋体" w:cs="宋体"/>
      <w:color w:val="000000"/>
      <w:sz w:val="21"/>
      <w:szCs w:val="21"/>
      <w:u w:val="none"/>
    </w:rPr>
  </w:style>
  <w:style w:type="character" w:styleId="1036" w:customStyle="1">
    <w:name w:val="font81"/>
    <w:uiPriority w:val="0"/>
    <w:qFormat/>
    <w:rPr>
      <w:rFonts w:ascii="Calibri" w:hAnsi="Calibri" w:cs="Calibri"/>
      <w:color w:val="000000"/>
      <w:sz w:val="21"/>
      <w:szCs w:val="21"/>
      <w:u w:val="none"/>
    </w:rPr>
  </w:style>
  <w:style w:type="character" w:styleId="1037" w:customStyle="1">
    <w:name w:val="font101"/>
    <w:uiPriority w:val="0"/>
    <w:qFormat/>
    <w:rPr>
      <w:rFonts w:ascii="Calibri" w:hAnsi="Calibri" w:cs="Calibri"/>
      <w:b/>
      <w:bCs/>
      <w:color w:val="000000"/>
      <w:sz w:val="21"/>
      <w:szCs w:val="21"/>
      <w:u w:val="none"/>
    </w:rPr>
  </w:style>
  <w:style w:type="character" w:styleId="1038" w:customStyle="1">
    <w:name w:val="font111"/>
    <w:uiPriority w:val="0"/>
    <w:qFormat/>
    <w:rPr>
      <w:rFonts w:hint="eastAsia" w:ascii="宋体" w:hAnsi="宋体" w:eastAsia="宋体" w:cs="宋体"/>
      <w:b/>
      <w:bCs/>
      <w:color w:val="000000"/>
      <w:sz w:val="22"/>
      <w:szCs w:val="22"/>
      <w:u w:val="none"/>
    </w:rPr>
  </w:style>
  <w:style w:type="character" w:styleId="1039" w:customStyle="1">
    <w:name w:val="正文缩进 字符1"/>
    <w:uiPriority w:val="0"/>
    <w:qFormat/>
    <w:rPr>
      <w:rFonts w:eastAsia="宋体"/>
      <w:sz w:val="21"/>
      <w:szCs w:val="24"/>
      <w:lang w:val="en-US" w:eastAsia="zh-CN" w:bidi="ar-SA"/>
    </w:rPr>
  </w:style>
  <w:style w:type="character" w:styleId="1040" w:customStyle="1">
    <w:name w:val="纯文本 字符2"/>
    <w:link w:val="770"/>
    <w:uiPriority w:val="0"/>
    <w:qFormat/>
    <w:rPr>
      <w:rFonts w:ascii="宋体" w:hAnsi="Courier New" w:eastAsia="楷体_GB2312"/>
      <w:sz w:val="26"/>
    </w:rPr>
  </w:style>
  <w:style w:type="character" w:styleId="1041" w:customStyle="1">
    <w:name w:val="正文缩进 Char"/>
    <w:uiPriority w:val="0"/>
    <w:qFormat/>
    <w:rPr>
      <w:rFonts w:eastAsia="楷体_GB2312"/>
      <w:sz w:val="24"/>
      <w:lang w:bidi="ar-SA"/>
    </w:rPr>
  </w:style>
  <w:style w:type="character" w:styleId="1042" w:customStyle="1">
    <w:name w:val="正文缩进 字符3"/>
    <w:uiPriority w:val="0"/>
    <w:qFormat/>
    <w:rPr>
      <w:sz w:val="21"/>
    </w:rPr>
  </w:style>
  <w:style w:type="character" w:styleId="1043" w:customStyle="1">
    <w:name w:val="Plain Text Char Char"/>
    <w:link w:val="962"/>
    <w:uiPriority w:val="0"/>
    <w:qFormat/>
    <w:rPr>
      <w:rFonts w:ascii="宋体" w:hAnsi="Courier New" w:eastAsia="楷体_GB2312"/>
      <w:sz w:val="26"/>
    </w:rPr>
  </w:style>
  <w:style w:type="character" w:styleId="1044" w:customStyle="1">
    <w:name w:val="正文文本 Char"/>
    <w:uiPriority w:val="99"/>
    <w:qFormat/>
    <w:rPr>
      <w:rFonts w:ascii="宋体" w:hAnsi="Times New Roman" w:eastAsia="宋体" w:cs="宋体"/>
      <w:szCs w:val="21"/>
    </w:rPr>
  </w:style>
  <w:style w:type="character" w:styleId="1045" w:customStyle="1">
    <w:name w:val="纯文本 Char"/>
    <w:uiPriority w:val="0"/>
    <w:qFormat/>
    <w:rPr>
      <w:rFonts w:ascii="宋体" w:hAnsi="Courier New" w:eastAsia="楷体_GB2312"/>
      <w:sz w:val="26"/>
    </w:rPr>
  </w:style>
  <w:style w:type="character" w:styleId="1046" w:customStyle="1">
    <w:name w:val="_正文段落 Char"/>
    <w:link w:val="964"/>
    <w:uiPriority w:val="0"/>
    <w:qFormat/>
    <w:rPr>
      <w:rFonts w:ascii="宋体" w:hAnsi="宋体"/>
      <w:sz w:val="24"/>
      <w:szCs w:val="24"/>
    </w:rPr>
  </w:style>
  <w:style w:type="character" w:styleId="1047" w:customStyle="1">
    <w:name w:val="批注框文本 字符"/>
    <w:basedOn w:val="757"/>
    <w:link w:val="775"/>
    <w:uiPriority w:val="99"/>
    <w:semiHidden/>
    <w:qFormat/>
    <w:rPr>
      <w:rFonts w:ascii="宋体" w:cs="宋体"/>
      <w:sz w:val="18"/>
      <w:szCs w:val="18"/>
    </w:rPr>
  </w:style>
  <w:style w:type="character" w:styleId="1048" w:customStyle="1">
    <w:name w:val="正文文本首行缩进 2 字符1"/>
    <w:basedOn w:val="1009"/>
    <w:link w:val="789"/>
    <w:uiPriority w:val="99"/>
    <w:semiHidden/>
    <w:qFormat/>
    <w:rPr>
      <w:rFonts w:ascii="宋体" w:hAnsi="Times New Roman" w:eastAsia="宋体" w:cs="宋体"/>
      <w:sz w:val="22"/>
      <w:szCs w:val="22"/>
    </w:rPr>
  </w:style>
  <w:style w:type="character" w:styleId="1049" w:customStyle="1">
    <w:name w:val="纯文本 Char Char"/>
    <w:link w:val="965"/>
    <w:uiPriority w:val="0"/>
    <w:qFormat/>
    <w:rPr>
      <w:rFonts w:ascii="宋体" w:hAnsi="Courier New" w:eastAsia="楷体_GB2312"/>
      <w:sz w:val="26"/>
      <w:szCs w:val="24"/>
    </w:rPr>
  </w:style>
  <w:style w:type="character" w:styleId="1050" w:customStyle="1">
    <w:name w:val="占位符文本1"/>
    <w:basedOn w:val="757"/>
    <w:uiPriority w:val="99"/>
    <w:semiHidden/>
    <w:qFormat/>
    <w:rPr>
      <w:color w:val="808080"/>
    </w:rPr>
  </w:style>
  <w:style w:type="character" w:styleId="1051" w:customStyle="1">
    <w:name w:val="Table Text Char1"/>
    <w:link w:val="967"/>
    <w:uiPriority w:val="0"/>
    <w:qFormat/>
    <w:rPr>
      <w:rFonts w:ascii="Arial" w:hAnsi="Arial" w:eastAsia="Times New Roman" w:cs="Arial"/>
      <w:sz w:val="18"/>
      <w:szCs w:val="18"/>
    </w:rPr>
  </w:style>
  <w:style w:type="paragraph" w:styleId="1052" w:customStyle="1">
    <w:name w:val="表正文"/>
    <w:basedOn w:val="747"/>
    <w:next w:val="765"/>
    <w:uiPriority w:val="0"/>
    <w:qFormat/>
    <w:pPr>
      <w:ind w:left="420"/>
      <w:spacing w:after="120"/>
    </w:pPr>
    <w:rPr>
      <w:sz w:val="21"/>
    </w:rPr>
  </w:style>
  <w:style w:type="numbering" w:styleId="108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太仓市政府采购</dc:title>
  <dc:creator>Administrator</dc:creator>
  <cp:lastModifiedBy>陈雪娇</cp:lastModifiedBy>
  <cp:revision>8</cp:revision>
  <dcterms:created xsi:type="dcterms:W3CDTF">2025-06-24T09:22:00Z</dcterms:created>
  <dcterms:modified xsi:type="dcterms:W3CDTF">2025-11-05T01:34:23Z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D70BDC6A33F7448DBB7A399E89EF3A4D_13</vt:lpwstr>
  </property>
  <property fmtid="{D5CDD505-2E9C-101B-9397-08002B2CF9AE}" pid="4" name="KSOTemplateDocerSaveRecord">
    <vt:lpwstr>eyJoZGlkIjoiOWY4YTg3MDRjYWQ1NWY1NzJlODU5OGU2MTYzNmRkYzgiLCJ1c2VySWQiOiI0NDI4MzcyMTYifQ==</vt:lpwstr>
  </property>
</Properties>
</file>